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sz w:val="20"/>
          <w:szCs w:val="20"/>
        </w:rPr>
      </w:pPr>
      <w:r>
        <w:rPr>
          <w:rFonts w:cs="Arial" w:ascii="Verdana" w:hAnsi="Verdana"/>
          <w:b/>
          <w:bCs/>
          <w:color w:val="000000"/>
          <w:sz w:val="20"/>
          <w:szCs w:val="20"/>
          <w:u w:val="single"/>
        </w:rPr>
        <w:t xml:space="preserve">TERMO DE REFERÊNCIA </w:t>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jc w:val="center"/>
        <w:rPr>
          <w:rFonts w:ascii="Verdana" w:hAnsi="Verdana"/>
          <w:sz w:val="20"/>
          <w:szCs w:val="20"/>
        </w:rPr>
      </w:pPr>
      <w:r>
        <w:rPr>
          <w:rFonts w:eastAsia="Times New Roman" w:cs="Times New Roman" w:ascii="Verdana" w:hAnsi="Verdana"/>
          <w:b/>
          <w:bCs/>
          <w:iCs/>
          <w:color w:val="000000"/>
          <w:kern w:val="0"/>
          <w:sz w:val="20"/>
          <w:szCs w:val="20"/>
          <w:lang w:val="pt-BR" w:eastAsia="pt-BR" w:bidi="ar-SA"/>
        </w:rPr>
        <w:t>CONTRATAÇÃO DE EMPRESA ESPECIALIZADA PARA PRESTAÇÃO DE SERVIÇOS DE REFORMA, IMPERMEABILIZAÇÃO E ESTANQUEIDADE DO TELHADO DOS DEPÓSITOS, CONSTRUÇÃO DE BANHEIRO E ADEQUAÇÃO DE PISO NA EMEIC FRANCISCO JOSÉ MATTEDI</w:t>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jc w:val="center"/>
        <w:rPr>
          <w:rFonts w:ascii="Verdana" w:hAnsi="Verdana"/>
          <w:sz w:val="20"/>
          <w:szCs w:val="20"/>
        </w:rPr>
      </w:pPr>
      <w:r>
        <w:rPr>
          <w:rFonts w:cs="Arial" w:ascii="Verdana" w:hAnsi="Verdana"/>
          <w:b/>
          <w:bCs/>
          <w:iCs/>
          <w:color w:val="000000"/>
          <w:sz w:val="20"/>
          <w:szCs w:val="20"/>
        </w:rPr>
        <w:t xml:space="preserve">Processo Administrativo nº </w:t>
      </w:r>
      <w:r>
        <w:rPr>
          <w:rFonts w:eastAsia="Times New Roman" w:cs="Times New Roman" w:ascii="Verdana" w:hAnsi="Verdana"/>
          <w:b/>
          <w:bCs/>
          <w:iCs/>
          <w:color w:val="000000"/>
          <w:sz w:val="20"/>
          <w:szCs w:val="20"/>
        </w:rPr>
        <w:t>002720</w:t>
      </w:r>
      <w:r>
        <w:rPr>
          <w:rFonts w:cs="Arial" w:ascii="Verdana" w:hAnsi="Verdana"/>
          <w:b/>
          <w:bCs/>
          <w:iCs/>
          <w:color w:val="000000"/>
          <w:sz w:val="20"/>
          <w:szCs w:val="20"/>
        </w:rPr>
        <w:t>/2026 de 17 de abril de 2026 (</w:t>
      </w:r>
      <w:r>
        <w:rPr>
          <w:rFonts w:eastAsia="Times New Roman" w:cs="Arial" w:ascii="Verdana" w:hAnsi="Verdana"/>
          <w:b/>
          <w:bCs/>
          <w:iCs/>
          <w:color w:val="000000"/>
          <w:kern w:val="0"/>
          <w:sz w:val="20"/>
          <w:szCs w:val="20"/>
          <w:lang w:val="pt-BR" w:eastAsia="pt-BR" w:bidi="ar-SA"/>
        </w:rPr>
        <w:t>Secretaria Municipal de Educação</w:t>
      </w:r>
      <w:r>
        <w:rPr>
          <w:rFonts w:cs="Arial" w:ascii="Verdana" w:hAnsi="Verdana"/>
          <w:b/>
          <w:bCs/>
          <w:iCs/>
          <w:color w:val="000000"/>
          <w:sz w:val="20"/>
          <w:szCs w:val="20"/>
        </w:rPr>
        <w:t>)</w:t>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ind w:hanging="0" w:left="0" w:right="0"/>
        <w:jc w:val="both"/>
        <w:rPr>
          <w:rFonts w:ascii="Verdana" w:hAnsi="Verdana"/>
          <w:sz w:val="20"/>
          <w:szCs w:val="20"/>
        </w:rPr>
      </w:pPr>
      <w:r>
        <w:rPr>
          <w:rFonts w:ascii="Verdana" w:hAnsi="Verdana"/>
          <w:b/>
          <w:bCs/>
          <w:sz w:val="20"/>
          <w:szCs w:val="20"/>
        </w:rPr>
        <w:t xml:space="preserve">1. DAS CONDIÇÕES GERAIS DA CONTRATAÇÃO </w:t>
      </w:r>
    </w:p>
    <w:p>
      <w:pPr>
        <w:pStyle w:val="Normal"/>
        <w:tabs>
          <w:tab w:val="clear" w:pos="708"/>
          <w:tab w:val="left" w:pos="567" w:leader="none"/>
        </w:tabs>
        <w:spacing w:lineRule="auto" w:line="240"/>
        <w:ind w:hanging="0" w:right="0"/>
        <w:jc w:val="both"/>
        <w:rPr>
          <w:rFonts w:ascii="Verdana" w:hAnsi="Verdana"/>
          <w:sz w:val="20"/>
          <w:szCs w:val="20"/>
        </w:rPr>
      </w:pPr>
      <w:r>
        <w:rPr>
          <w:rFonts w:ascii="Verdana" w:hAnsi="Verdana"/>
          <w:b w:val="false"/>
          <w:bCs w:val="false"/>
          <w:sz w:val="20"/>
          <w:szCs w:val="20"/>
        </w:rPr>
        <w:t xml:space="preserve">1.1. </w:t>
      </w:r>
      <w:r>
        <w:rPr>
          <w:rFonts w:ascii="Verdana" w:hAnsi="Verdana"/>
          <w:sz w:val="20"/>
          <w:szCs w:val="20"/>
        </w:rPr>
        <w:t xml:space="preserve">Contratação de empresa especializada </w:t>
      </w:r>
      <w:r>
        <w:rPr>
          <w:rFonts w:eastAsia="Times New Roman" w:cs="Times New Roman" w:ascii="Verdana" w:hAnsi="Verdana"/>
          <w:sz w:val="20"/>
          <w:szCs w:val="20"/>
        </w:rPr>
        <w:t xml:space="preserve">para prestação de serviços de reforma, </w:t>
      </w:r>
      <w:r>
        <w:rPr>
          <w:rFonts w:eastAsia="Times New Roman" w:cs="Times New Roman" w:ascii="Verdana" w:hAnsi="Verdana"/>
          <w:b/>
          <w:bCs/>
          <w:sz w:val="20"/>
          <w:szCs w:val="20"/>
        </w:rPr>
        <w:t>impermeabilização e estanqueidade</w:t>
      </w:r>
      <w:r>
        <w:rPr>
          <w:rFonts w:eastAsia="Times New Roman" w:cs="Times New Roman" w:ascii="Verdana" w:hAnsi="Verdana"/>
          <w:sz w:val="20"/>
          <w:szCs w:val="20"/>
        </w:rPr>
        <w:t xml:space="preserve"> do telhado dos depósitos, construção de banheiro e adequação de piso na EMEIC Francisco José Mattedi.</w:t>
      </w:r>
      <w:r>
        <w:rPr>
          <w:rFonts w:eastAsia="Times New Roman" w:cs="Times New Roman" w:ascii="Verdana" w:hAnsi="Verdana"/>
          <w:color w:val="auto"/>
          <w:kern w:val="0"/>
          <w:sz w:val="20"/>
          <w:szCs w:val="20"/>
          <w:lang w:val="pt-BR" w:eastAsia="pt-BR" w:bidi="ar-SA"/>
        </w:rPr>
        <w:t xml:space="preserve"> </w:t>
      </w:r>
      <w:r>
        <w:rPr>
          <w:rFonts w:ascii="Verdana" w:hAnsi="Verdana"/>
          <w:sz w:val="20"/>
          <w:szCs w:val="20"/>
        </w:rPr>
        <w:t>conforme condições e exigências estabelecidas neste instrumento e no ETP, Projeto Básico e planilhas, elaborado pela requente.</w:t>
      </w:r>
    </w:p>
    <w:p>
      <w:pPr>
        <w:pStyle w:val="Normal"/>
        <w:spacing w:lineRule="auto" w:line="240"/>
        <w:jc w:val="both"/>
        <w:rPr>
          <w:rFonts w:ascii="Verdana" w:hAnsi="Verdana"/>
          <w:sz w:val="20"/>
          <w:szCs w:val="20"/>
        </w:rPr>
      </w:pPr>
      <w:r>
        <w:rPr>
          <w:rFonts w:ascii="Verdana" w:hAnsi="Verdana"/>
          <w:sz w:val="20"/>
          <w:szCs w:val="20"/>
        </w:rPr>
      </w:r>
    </w:p>
    <w:tbl>
      <w:tblPr>
        <w:tblW w:w="9795" w:type="dxa"/>
        <w:jc w:val="left"/>
        <w:tblInd w:w="123" w:type="dxa"/>
        <w:tblLayout w:type="fixed"/>
        <w:tblCellMar>
          <w:top w:w="0" w:type="dxa"/>
          <w:left w:w="108" w:type="dxa"/>
          <w:bottom w:w="0" w:type="dxa"/>
          <w:right w:w="108" w:type="dxa"/>
        </w:tblCellMar>
      </w:tblPr>
      <w:tblGrid>
        <w:gridCol w:w="864"/>
        <w:gridCol w:w="3018"/>
        <w:gridCol w:w="852"/>
        <w:gridCol w:w="1219"/>
        <w:gridCol w:w="2004"/>
        <w:gridCol w:w="1837"/>
      </w:tblGrid>
      <w:tr>
        <w:trPr/>
        <w:tc>
          <w:tcPr>
            <w:tcW w:w="86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eastAsia="Times New Roman" w:cs="Times New Roman" w:ascii="Verdana" w:hAnsi="Verdana"/>
                <w:b/>
                <w:bCs/>
                <w:color w:val="auto"/>
                <w:kern w:val="0"/>
                <w:sz w:val="20"/>
                <w:szCs w:val="20"/>
                <w:lang w:val="pt-BR" w:eastAsia="pt-BR" w:bidi="ar-SA"/>
              </w:rPr>
              <w:t>ITEM</w:t>
            </w:r>
          </w:p>
        </w:tc>
        <w:tc>
          <w:tcPr>
            <w:tcW w:w="301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ascii="Verdana" w:hAnsi="Verdana"/>
                <w:b/>
                <w:bCs/>
                <w:sz w:val="20"/>
                <w:szCs w:val="20"/>
              </w:rPr>
              <w:t>ESPECIFICAÇÃO</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ascii="Verdana" w:hAnsi="Verdana"/>
                <w:b/>
                <w:bCs/>
                <w:sz w:val="20"/>
                <w:szCs w:val="20"/>
              </w:rPr>
              <w:t>UND.</w:t>
            </w:r>
          </w:p>
        </w:tc>
        <w:tc>
          <w:tcPr>
            <w:tcW w:w="12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ascii="Verdana" w:hAnsi="Verdana"/>
                <w:b/>
                <w:bCs/>
                <w:sz w:val="20"/>
                <w:szCs w:val="20"/>
              </w:rPr>
              <w:t>QUANT.</w:t>
            </w:r>
          </w:p>
        </w:tc>
        <w:tc>
          <w:tcPr>
            <w:tcW w:w="200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ascii="Verdana" w:hAnsi="Verdana"/>
                <w:b/>
                <w:bCs/>
                <w:sz w:val="20"/>
                <w:szCs w:val="20"/>
              </w:rPr>
              <w:t>VALOR UNITÁRIO</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ascii="Verdana" w:hAnsi="Verdana"/>
                <w:b/>
                <w:bCs/>
                <w:sz w:val="20"/>
                <w:szCs w:val="20"/>
              </w:rPr>
              <w:t>VALOR TOTAL</w:t>
            </w:r>
          </w:p>
        </w:tc>
      </w:tr>
      <w:tr>
        <w:trPr/>
        <w:tc>
          <w:tcPr>
            <w:tcW w:w="86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rFonts w:ascii="Verdana" w:hAnsi="Verdana"/>
                <w:sz w:val="20"/>
                <w:szCs w:val="20"/>
                <w:shd w:fill="auto" w:val="clear"/>
              </w:rPr>
            </w:pPr>
            <w:r>
              <w:rPr>
                <w:rFonts w:ascii="Verdana" w:hAnsi="Verdana"/>
                <w:sz w:val="20"/>
                <w:szCs w:val="20"/>
                <w:shd w:fill="auto" w:val="clear"/>
              </w:rPr>
            </w:r>
          </w:p>
          <w:p>
            <w:pPr>
              <w:pStyle w:val="Normal"/>
              <w:widowControl w:val="false"/>
              <w:tabs>
                <w:tab w:val="clear" w:pos="708"/>
              </w:tabs>
              <w:spacing w:lineRule="auto" w:line="240"/>
              <w:jc w:val="center"/>
              <w:rPr>
                <w:rFonts w:ascii="Verdana" w:hAnsi="Verdana"/>
                <w:sz w:val="20"/>
                <w:szCs w:val="20"/>
                <w:shd w:fill="auto" w:val="clear"/>
              </w:rPr>
            </w:pPr>
            <w:r>
              <w:rPr>
                <w:rFonts w:ascii="Verdana" w:hAnsi="Verdana"/>
                <w:sz w:val="20"/>
                <w:szCs w:val="20"/>
                <w:shd w:fill="auto" w:val="clear"/>
              </w:rPr>
            </w:r>
          </w:p>
          <w:p>
            <w:pPr>
              <w:pStyle w:val="Normal"/>
              <w:widowControl w:val="false"/>
              <w:tabs>
                <w:tab w:val="clear" w:pos="708"/>
              </w:tabs>
              <w:spacing w:lineRule="auto" w:line="240"/>
              <w:jc w:val="center"/>
              <w:rPr>
                <w:rFonts w:ascii="Verdana" w:hAnsi="Verdana"/>
                <w:sz w:val="20"/>
                <w:szCs w:val="20"/>
              </w:rPr>
            </w:pPr>
            <w:r>
              <w:rPr>
                <w:rFonts w:ascii="Verdana" w:hAnsi="Verdana"/>
                <w:sz w:val="20"/>
                <w:szCs w:val="20"/>
                <w:shd w:fill="auto" w:val="clear"/>
              </w:rPr>
              <w:t>01</w:t>
            </w:r>
          </w:p>
        </w:tc>
        <w:tc>
          <w:tcPr>
            <w:tcW w:w="3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jc w:val="both"/>
              <w:rPr>
                <w:rFonts w:ascii="Verdana" w:hAnsi="Verdana"/>
                <w:sz w:val="20"/>
                <w:szCs w:val="20"/>
              </w:rPr>
            </w:pPr>
            <w:r>
              <w:rPr>
                <w:rFonts w:ascii="Verdana" w:hAnsi="Verdana"/>
                <w:sz w:val="20"/>
                <w:szCs w:val="20"/>
                <w:shd w:fill="auto" w:val="clear"/>
              </w:rPr>
              <w:t>Contratação de empresa especializada para construção de sanitários, reforma do piso da área de serviço e Impermeabilização do telhado dos depósitos da EMEIC Francisco José Mattedi. Córrego General Rondon – Vila Fartura- distância da sede – 23 km</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ascii="Verdana" w:hAnsi="Verdana"/>
                <w:sz w:val="20"/>
                <w:szCs w:val="20"/>
                <w:shd w:fill="auto" w:val="clear"/>
              </w:rPr>
              <w:t>Serv.</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ascii="Verdana" w:hAnsi="Verdana"/>
                <w:sz w:val="20"/>
                <w:szCs w:val="20"/>
              </w:rPr>
              <w:t>01</w:t>
            </w:r>
          </w:p>
        </w:tc>
        <w:tc>
          <w:tcPr>
            <w:tcW w:w="20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ascii="Verdana" w:hAnsi="Verdana"/>
                <w:sz w:val="20"/>
                <w:szCs w:val="20"/>
              </w:rPr>
              <w:t>R$  63.722,97</w:t>
            </w:r>
          </w:p>
        </w:tc>
        <w:tc>
          <w:tcPr>
            <w:tcW w:w="18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ascii="Verdana" w:hAnsi="Verdana"/>
                <w:sz w:val="20"/>
                <w:szCs w:val="20"/>
              </w:rPr>
              <w:t>R$  63.722,97</w:t>
            </w:r>
          </w:p>
        </w:tc>
      </w:tr>
      <w:tr>
        <w:trPr/>
        <w:tc>
          <w:tcPr>
            <w:tcW w:w="9794" w:type="dxa"/>
            <w:gridSpan w:val="6"/>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center"/>
              <w:rPr>
                <w:rFonts w:ascii="Verdana" w:hAnsi="Verdana"/>
                <w:sz w:val="20"/>
                <w:szCs w:val="20"/>
                <w:shd w:fill="auto" w:val="clear"/>
              </w:rPr>
            </w:pPr>
            <w:r>
              <w:rPr>
                <w:rFonts w:ascii="Verdana" w:hAnsi="Verdana"/>
                <w:sz w:val="20"/>
                <w:szCs w:val="20"/>
                <w:shd w:fill="auto" w:val="clear"/>
              </w:rPr>
            </w:r>
          </w:p>
          <w:p>
            <w:pPr>
              <w:pStyle w:val="Normal"/>
              <w:widowControl w:val="false"/>
              <w:tabs>
                <w:tab w:val="clear" w:pos="708"/>
              </w:tabs>
              <w:spacing w:lineRule="auto" w:line="240" w:before="0" w:after="0"/>
              <w:jc w:val="center"/>
              <w:rPr>
                <w:rFonts w:ascii="Verdana" w:hAnsi="Verdana"/>
                <w:sz w:val="20"/>
                <w:szCs w:val="20"/>
              </w:rPr>
            </w:pPr>
            <w:r>
              <w:rPr>
                <w:rFonts w:ascii="Verdana" w:hAnsi="Verdana"/>
                <w:sz w:val="20"/>
                <w:szCs w:val="20"/>
                <w:shd w:fill="auto" w:val="clear"/>
              </w:rPr>
              <w:t>VALOR TOTAL: R$ 63. 722,97 (sessenta e três mil setecentos e vinte e dois reais e noventa e sete centavos) – valor referencial Tabela DER-ES 12/2025 (anexo fl. 25 dos autos)</w:t>
            </w:r>
          </w:p>
          <w:p>
            <w:pPr>
              <w:pStyle w:val="Normal"/>
              <w:widowControl w:val="false"/>
              <w:tabs>
                <w:tab w:val="clear" w:pos="708"/>
              </w:tabs>
              <w:spacing w:lineRule="auto" w:line="240" w:before="0" w:after="0"/>
              <w:jc w:val="center"/>
              <w:rPr>
                <w:rFonts w:ascii="Verdana" w:hAnsi="Verdana"/>
                <w:sz w:val="20"/>
                <w:szCs w:val="20"/>
                <w:shd w:fill="auto" w:val="clear"/>
              </w:rPr>
            </w:pPr>
            <w:r>
              <w:rPr>
                <w:rFonts w:ascii="Verdana" w:hAnsi="Verdana"/>
                <w:sz w:val="20"/>
                <w:szCs w:val="20"/>
                <w:shd w:fill="auto" w:val="clear"/>
              </w:rPr>
            </w:r>
          </w:p>
          <w:p>
            <w:pPr>
              <w:pStyle w:val="Normal"/>
              <w:widowControl w:val="false"/>
              <w:tabs>
                <w:tab w:val="clear" w:pos="708"/>
              </w:tabs>
              <w:spacing w:lineRule="auto" w:line="240" w:before="0" w:after="0"/>
              <w:jc w:val="center"/>
              <w:rPr>
                <w:rFonts w:ascii="Verdana" w:hAnsi="Verdana"/>
                <w:sz w:val="20"/>
                <w:szCs w:val="20"/>
              </w:rPr>
            </w:pPr>
            <w:r>
              <w:rPr>
                <w:rFonts w:ascii="Verdana" w:hAnsi="Verdana"/>
                <w:sz w:val="20"/>
                <w:szCs w:val="20"/>
                <w:shd w:fill="auto" w:val="clear"/>
              </w:rPr>
              <w:t>Sendo o valor:</w:t>
            </w:r>
          </w:p>
          <w:p>
            <w:pPr>
              <w:pStyle w:val="Normal"/>
              <w:widowControl w:val="false"/>
              <w:tabs>
                <w:tab w:val="clear" w:pos="708"/>
              </w:tabs>
              <w:spacing w:lineRule="auto" w:line="240" w:before="0" w:after="0"/>
              <w:jc w:val="center"/>
              <w:rPr>
                <w:rFonts w:ascii="Verdana" w:hAnsi="Verdana"/>
                <w:sz w:val="20"/>
                <w:szCs w:val="20"/>
                <w:shd w:fill="auto" w:val="clear"/>
              </w:rPr>
            </w:pPr>
            <w:r>
              <w:rPr>
                <w:rFonts w:ascii="Verdana" w:hAnsi="Verdana"/>
                <w:sz w:val="20"/>
                <w:szCs w:val="20"/>
                <w:shd w:fill="auto" w:val="clear"/>
              </w:rPr>
            </w:r>
          </w:p>
          <w:p>
            <w:pPr>
              <w:pStyle w:val="Normal"/>
              <w:widowControl w:val="false"/>
              <w:tabs>
                <w:tab w:val="clear" w:pos="708"/>
              </w:tabs>
              <w:spacing w:lineRule="auto" w:line="240" w:before="0" w:after="0"/>
              <w:jc w:val="center"/>
              <w:rPr>
                <w:rFonts w:ascii="Verdana" w:hAnsi="Verdana"/>
                <w:sz w:val="20"/>
                <w:szCs w:val="20"/>
              </w:rPr>
            </w:pPr>
            <w:r>
              <w:rPr>
                <w:rFonts w:ascii="Verdana" w:hAnsi="Verdana"/>
                <w:sz w:val="20"/>
                <w:szCs w:val="20"/>
                <w:shd w:fill="auto" w:val="clear"/>
              </w:rPr>
              <w:t>- R$ 63. 722,97 (sessenta e três mil setecentos e vinte e dois reais e noventa e sete centavos) – Emenda Parlamentar</w:t>
            </w:r>
          </w:p>
          <w:p>
            <w:pPr>
              <w:pStyle w:val="Normal"/>
              <w:widowControl w:val="false"/>
              <w:tabs>
                <w:tab w:val="clear" w:pos="708"/>
              </w:tabs>
              <w:spacing w:lineRule="auto" w:line="240" w:before="0" w:after="0"/>
              <w:jc w:val="center"/>
              <w:rPr>
                <w:rFonts w:ascii="Verdana" w:hAnsi="Verdana"/>
                <w:sz w:val="20"/>
                <w:szCs w:val="20"/>
              </w:rPr>
            </w:pPr>
            <w:r>
              <w:rPr>
                <w:rFonts w:ascii="Verdana" w:hAnsi="Verdana"/>
                <w:sz w:val="20"/>
                <w:szCs w:val="20"/>
                <w:shd w:fill="auto" w:val="clear"/>
              </w:rPr>
              <w:t>- R$ 13.722,00 (treze mil setecentos e vinte e dois reais) - MDE</w:t>
            </w:r>
          </w:p>
          <w:p>
            <w:pPr>
              <w:pStyle w:val="Normal"/>
              <w:widowControl w:val="false"/>
              <w:tabs>
                <w:tab w:val="clear" w:pos="708"/>
              </w:tabs>
              <w:spacing w:lineRule="auto" w:line="240" w:before="0" w:after="0"/>
              <w:jc w:val="center"/>
              <w:rPr>
                <w:rFonts w:ascii="Verdana" w:hAnsi="Verdana"/>
                <w:sz w:val="20"/>
                <w:szCs w:val="20"/>
              </w:rPr>
            </w:pPr>
            <w:r>
              <w:rPr>
                <w:rFonts w:ascii="Verdana" w:hAnsi="Verdana"/>
                <w:sz w:val="20"/>
                <w:szCs w:val="20"/>
                <w:shd w:fill="auto" w:val="clear"/>
              </w:rPr>
              <w:t>- R$ 10.000,00 (dez mil reais) - MDE</w:t>
            </w:r>
          </w:p>
          <w:p>
            <w:pPr>
              <w:pStyle w:val="Normal"/>
              <w:widowControl w:val="false"/>
              <w:tabs>
                <w:tab w:val="clear" w:pos="708"/>
              </w:tabs>
              <w:spacing w:lineRule="auto" w:line="240" w:before="0" w:after="0"/>
              <w:jc w:val="center"/>
              <w:rPr>
                <w:rFonts w:ascii="Verdana" w:hAnsi="Verdana"/>
                <w:sz w:val="20"/>
                <w:szCs w:val="20"/>
              </w:rPr>
            </w:pPr>
            <w:r>
              <w:rPr>
                <w:rFonts w:ascii="Verdana" w:hAnsi="Verdana"/>
                <w:sz w:val="20"/>
                <w:szCs w:val="20"/>
              </w:rPr>
            </w:r>
          </w:p>
        </w:tc>
      </w:tr>
    </w:tbl>
    <w:p>
      <w:pPr>
        <w:pStyle w:val="Normal"/>
        <w:spacing w:lineRule="auto" w:line="240"/>
        <w:jc w:val="both"/>
        <w:rPr>
          <w:rFonts w:ascii="Verdana" w:hAnsi="Verdana"/>
          <w:sz w:val="20"/>
          <w:szCs w:val="20"/>
        </w:rPr>
      </w:pPr>
      <w:r>
        <w:rPr>
          <w:rFonts w:ascii="Verdana" w:hAnsi="Verdana"/>
          <w:sz w:val="20"/>
          <w:szCs w:val="20"/>
        </w:rPr>
        <w:t>1.2. O prazo de vigência da contratação será de 120 (cento e vinte) dias com início da obra até 15 (quinze) dias após a emissão da autorização de fornecimento/execução, emitida pelo Departamento de Compras e Contratos.</w:t>
      </w:r>
    </w:p>
    <w:p>
      <w:pPr>
        <w:pStyle w:val="ListParagraph"/>
        <w:tabs>
          <w:tab w:val="clear" w:pos="708"/>
          <w:tab w:val="left" w:pos="0" w:leader="none"/>
        </w:tabs>
        <w:suppressAutoHyphens w:val="false"/>
        <w:spacing w:lineRule="auto" w:line="240"/>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1.3.</w:t>
      </w:r>
      <w:r>
        <w:rPr>
          <w:rFonts w:eastAsia="Times New Roman" w:cs="Times New Roman" w:ascii="Verdana" w:hAnsi="Verdana"/>
          <w:b/>
          <w:bCs/>
          <w:iCs/>
          <w:color w:val="000000"/>
          <w:sz w:val="20"/>
          <w:szCs w:val="20"/>
        </w:rPr>
        <w:t xml:space="preserve"> </w:t>
      </w:r>
      <w:r>
        <w:rPr>
          <w:rFonts w:eastAsia="Times New Roman" w:cs="Times New Roman" w:ascii="Verdana" w:hAnsi="Verdana"/>
          <w:iCs/>
          <w:color w:val="000000"/>
          <w:sz w:val="20"/>
          <w:szCs w:val="20"/>
        </w:rPr>
        <w:t xml:space="preserve">O custo estimado total da contratação é de </w:t>
      </w:r>
      <w:r>
        <w:rPr>
          <w:rFonts w:eastAsia="Times New Roman" w:cs="Times New Roman" w:ascii="Verdana" w:hAnsi="Verdana"/>
          <w:iCs/>
          <w:color w:val="000000"/>
          <w:sz w:val="20"/>
          <w:szCs w:val="20"/>
          <w:shd w:fill="auto" w:val="clear"/>
        </w:rPr>
        <w:t>R$ 63.722,97 (sessenta e três mil setecentos e vinte e dois reais e noventa e sete centavos)</w:t>
      </w:r>
      <w:r>
        <w:rPr>
          <w:rFonts w:eastAsia="Times New Roman" w:cs="Times New Roman" w:ascii="Verdana" w:hAnsi="Verdana"/>
          <w:i w:val="false"/>
          <w:iCs w:val="false"/>
          <w:color w:val="000000"/>
          <w:sz w:val="20"/>
          <w:szCs w:val="20"/>
          <w:shd w:fill="auto" w:val="clear"/>
        </w:rPr>
        <w:t>,</w:t>
      </w:r>
      <w:r>
        <w:rPr>
          <w:rFonts w:eastAsia="Times New Roman" w:cs="Times New Roman" w:ascii="Verdana" w:hAnsi="Verdana"/>
          <w:i/>
          <w:iCs/>
          <w:color w:val="000000"/>
          <w:sz w:val="20"/>
          <w:szCs w:val="20"/>
          <w:shd w:fill="auto" w:val="clear"/>
        </w:rPr>
        <w:t xml:space="preserve"> </w:t>
      </w:r>
      <w:r>
        <w:rPr>
          <w:rFonts w:eastAsia="Times New Roman" w:cs="Times New Roman" w:ascii="Verdana" w:hAnsi="Verdana"/>
          <w:iCs/>
          <w:color w:val="000000"/>
          <w:sz w:val="20"/>
          <w:szCs w:val="20"/>
          <w:shd w:fill="auto" w:val="clear"/>
        </w:rPr>
        <w:t>conforme custos unitários</w:t>
      </w:r>
      <w:r>
        <w:rPr>
          <w:rFonts w:eastAsia="Times New Roman" w:cs="Times New Roman" w:ascii="Verdana" w:hAnsi="Verdana"/>
          <w:bCs/>
          <w:iCs/>
          <w:color w:val="000000"/>
          <w:sz w:val="20"/>
          <w:szCs w:val="20"/>
          <w:shd w:fill="auto" w:val="clear"/>
        </w:rPr>
        <w:t xml:space="preserve"> aposto na tabela anexada nos autos pela requerente (Tabela DER-ES 12/2025)</w:t>
      </w:r>
      <w:r>
        <w:rPr>
          <w:rFonts w:eastAsia="Times New Roman" w:cs="Times New Roman" w:ascii="Verdana" w:hAnsi="Verdana"/>
          <w:bCs/>
          <w:iCs/>
          <w:color w:val="000000"/>
          <w:sz w:val="20"/>
          <w:szCs w:val="20"/>
        </w:rPr>
        <w:t>.</w:t>
      </w:r>
    </w:p>
    <w:p>
      <w:pPr>
        <w:pStyle w:val="ListParagraph"/>
        <w:tabs>
          <w:tab w:val="clear" w:pos="708"/>
          <w:tab w:val="left" w:pos="0" w:leader="none"/>
        </w:tabs>
        <w:suppressAutoHyphens w:val="false"/>
        <w:spacing w:lineRule="auto" w:line="240"/>
        <w:ind w:hanging="0" w:left="0" w:right="0"/>
        <w:jc w:val="both"/>
        <w:rPr>
          <w:rFonts w:ascii="Verdana" w:hAnsi="Verdana" w:eastAsia="Times New Roman" w:cs="Times New Roman"/>
          <w:bCs/>
          <w:iCs/>
          <w:color w:val="000000"/>
          <w:sz w:val="20"/>
          <w:szCs w:val="20"/>
        </w:rPr>
      </w:pPr>
      <w:r>
        <w:rPr>
          <w:rFonts w:eastAsia="Times New Roman" w:cs="Times New Roman" w:ascii="Verdana" w:hAnsi="Verdana"/>
          <w:bCs/>
          <w:iCs/>
          <w:color w:val="000000"/>
          <w:sz w:val="20"/>
          <w:szCs w:val="20"/>
        </w:rPr>
      </w:r>
    </w:p>
    <w:p>
      <w:pPr>
        <w:pStyle w:val="Normal"/>
        <w:spacing w:lineRule="auto" w:line="240"/>
        <w:ind w:hanging="0" w:left="0" w:right="0"/>
        <w:jc w:val="both"/>
        <w:rPr>
          <w:rFonts w:ascii="Verdana" w:hAnsi="Verdana"/>
          <w:sz w:val="20"/>
          <w:szCs w:val="20"/>
        </w:rPr>
      </w:pPr>
      <w:r>
        <w:rPr>
          <w:rFonts w:ascii="Verdana" w:hAnsi="Verdana"/>
          <w:b/>
          <w:bCs/>
          <w:sz w:val="20"/>
          <w:szCs w:val="20"/>
        </w:rPr>
        <w:t>2. DESCRIÇÃO DA NECESSIDADE DA CONTRATAÇÃO  (conforme item 5 do ETP)</w:t>
      </w:r>
    </w:p>
    <w:p>
      <w:pPr>
        <w:pStyle w:val="Normal"/>
        <w:spacing w:lineRule="auto" w:line="240" w:before="0" w:after="0"/>
        <w:contextualSpacing/>
        <w:jc w:val="both"/>
        <w:rPr>
          <w:rFonts w:ascii="Verdana" w:hAnsi="Verdana"/>
          <w:sz w:val="20"/>
          <w:szCs w:val="20"/>
        </w:rPr>
      </w:pPr>
      <w:r>
        <w:rPr>
          <w:rFonts w:cs="Arial" w:ascii="Verdana" w:hAnsi="Verdana"/>
          <w:b w:val="false"/>
          <w:bCs w:val="false"/>
          <w:color w:val="000000"/>
          <w:sz w:val="20"/>
          <w:szCs w:val="20"/>
          <w:shd w:fill="auto" w:val="clear"/>
        </w:rPr>
        <w:t xml:space="preserve">2.1. </w:t>
      </w:r>
      <w:r>
        <w:rPr>
          <w:rFonts w:ascii="Verdana" w:hAnsi="Verdana"/>
          <w:b w:val="false"/>
          <w:bCs w:val="false"/>
          <w:sz w:val="20"/>
          <w:szCs w:val="20"/>
        </w:rPr>
        <w:t>Há necessidade de contratação de empresa especializada para execução de serviços de construção de sanitários, reforma de piso e impermeabilização do telhado da EMEIC Francisco José Mattedi, com fornecimento de materiais, equipamentos, transporte e mão de obra necessários à completa execução do objeto.</w:t>
      </w:r>
    </w:p>
    <w:p>
      <w:pPr>
        <w:pStyle w:val="Normal"/>
        <w:spacing w:lineRule="auto" w:line="240" w:before="0" w:after="0"/>
        <w:contextualSpacing/>
        <w:jc w:val="both"/>
        <w:rPr>
          <w:rFonts w:ascii="Verdana" w:hAnsi="Verdana"/>
          <w:sz w:val="20"/>
          <w:szCs w:val="20"/>
        </w:rPr>
      </w:pPr>
      <w:r>
        <w:rPr>
          <w:rFonts w:ascii="Verdana" w:hAnsi="Verdana"/>
          <w:b w:val="false"/>
          <w:bCs w:val="false"/>
          <w:sz w:val="20"/>
          <w:szCs w:val="20"/>
        </w:rPr>
        <w:t>2.2. A manutenção da infraestrutura escolar é essencial para garantir condições adequadas de funcionamento da unidade, tendo em vista que o estado atual do telhado dos depósitos apresenta infiltrações severas, comprometendo o armazenamento da merenda escolar e de materiais didáticos, além de favorecer a proliferação de umidade e fungos, com potencial risco à saúde da comunidade escolar.</w:t>
      </w:r>
    </w:p>
    <w:p>
      <w:pPr>
        <w:pStyle w:val="Normal"/>
        <w:spacing w:lineRule="auto" w:line="240" w:before="0" w:after="0"/>
        <w:contextualSpacing/>
        <w:jc w:val="both"/>
        <w:rPr>
          <w:rFonts w:ascii="Verdana" w:hAnsi="Verdana"/>
          <w:sz w:val="20"/>
          <w:szCs w:val="20"/>
        </w:rPr>
      </w:pPr>
      <w:r>
        <w:rPr>
          <w:rFonts w:ascii="Verdana" w:hAnsi="Verdana"/>
          <w:b w:val="false"/>
          <w:bCs w:val="false"/>
          <w:sz w:val="20"/>
          <w:szCs w:val="20"/>
        </w:rPr>
        <w:t>2.3. A regularização do piso na área de serviço, com correção de desníveis e assentamento de revestimento adequado, é necessária para eliminar pontos de acúmulo de água e reduzir o risco de acidentes por escorregamento, assegurando maior segurança no deslocamento de servidores e alunos.</w:t>
      </w:r>
    </w:p>
    <w:p>
      <w:pPr>
        <w:pStyle w:val="Normal"/>
        <w:spacing w:lineRule="auto" w:line="240" w:before="0" w:after="0"/>
        <w:contextualSpacing/>
        <w:jc w:val="both"/>
        <w:rPr>
          <w:rFonts w:ascii="Verdana" w:hAnsi="Verdana"/>
          <w:sz w:val="20"/>
          <w:szCs w:val="20"/>
        </w:rPr>
      </w:pPr>
      <w:r>
        <w:rPr>
          <w:rFonts w:ascii="Verdana" w:hAnsi="Verdana"/>
          <w:b w:val="false"/>
          <w:bCs w:val="false"/>
          <w:sz w:val="20"/>
          <w:szCs w:val="20"/>
        </w:rPr>
        <w:t>2.4. A construção de sanitários visa adequar a infraestrutura da unidade escolar às condições mínimas de atendimento, promovendo maior funcionalidade operacional e melhor organização dos espaços destinados às atividades pedagógicas.</w:t>
      </w:r>
    </w:p>
    <w:p>
      <w:pPr>
        <w:pStyle w:val="Normal"/>
        <w:spacing w:lineRule="auto" w:line="240" w:before="0" w:after="0"/>
        <w:contextualSpacing/>
        <w:jc w:val="both"/>
        <w:rPr>
          <w:rFonts w:ascii="Verdana" w:hAnsi="Verdana"/>
          <w:sz w:val="20"/>
          <w:szCs w:val="20"/>
        </w:rPr>
      </w:pPr>
      <w:r>
        <w:rPr>
          <w:rFonts w:ascii="Verdana" w:hAnsi="Verdana"/>
          <w:b w:val="false"/>
          <w:bCs w:val="false"/>
          <w:sz w:val="20"/>
          <w:szCs w:val="20"/>
        </w:rPr>
        <w:t>2.5. Considerando que a Secretaria Municipal de Educação não dispõe de equipe própria especializada em engenharia e construção civil, torna-se necessária a contratação de empresa capacitada para execução dos serviços, visando à conformidade com normas técnicas e de segurança aplicáveis.</w:t>
      </w:r>
    </w:p>
    <w:p>
      <w:pPr>
        <w:pStyle w:val="Normal"/>
        <w:spacing w:lineRule="auto" w:line="240" w:before="0" w:after="0"/>
        <w:contextualSpacing/>
        <w:jc w:val="both"/>
        <w:rPr>
          <w:rFonts w:ascii="Verdana" w:hAnsi="Verdana"/>
          <w:sz w:val="20"/>
          <w:szCs w:val="20"/>
        </w:rPr>
      </w:pPr>
      <w:r>
        <w:rPr>
          <w:rFonts w:ascii="Verdana" w:hAnsi="Verdana"/>
          <w:b w:val="false"/>
          <w:bCs w:val="false"/>
          <w:sz w:val="20"/>
          <w:szCs w:val="20"/>
        </w:rPr>
        <w:t>2.6. As especificações técnicas dos materiais e o cronograma de execução serão detalhados no Projeto Básico/Termo de Referência, que integra o presente processo administrativo.</w:t>
      </w:r>
    </w:p>
    <w:p>
      <w:pPr>
        <w:pStyle w:val="PargrafodaLista"/>
        <w:widowControl w:val="false"/>
        <w:tabs>
          <w:tab w:val="clear" w:pos="708"/>
          <w:tab w:val="left" w:pos="-2410" w:leader="none"/>
          <w:tab w:val="left" w:pos="567" w:leader="none"/>
        </w:tabs>
        <w:spacing w:lineRule="auto" w:line="240" w:before="0" w:after="0"/>
        <w:ind w:hanging="0" w:left="0"/>
        <w:contextualSpacing/>
        <w:jc w:val="both"/>
        <w:rPr>
          <w:rFonts w:ascii="Verdana" w:hAnsi="Verdana"/>
          <w:sz w:val="20"/>
          <w:szCs w:val="20"/>
        </w:rPr>
      </w:pPr>
      <w:r>
        <w:rPr>
          <w:rFonts w:eastAsia="Calibri" w:cs="Arial" w:ascii="Verdana" w:hAnsi="Verdana"/>
          <w:b w:val="false"/>
          <w:bCs w:val="false"/>
          <w:color w:val="000000"/>
          <w:kern w:val="0"/>
          <w:sz w:val="20"/>
          <w:szCs w:val="20"/>
          <w:shd w:fill="auto" w:val="clear"/>
          <w:lang w:val="pt-BR" w:eastAsia="zh-CN" w:bidi="hi-IN"/>
        </w:rPr>
        <w:t>2.7. Por se tratar de unidade localizada em zona rural (Córrego General Rondon), foram consideradas as condições de acesso e logística para adequada composição dos custos, incluindo transporte de materiais e mobilização de equipe, conforme art. 18 da Lei nº 14.133/2021.</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eastAsia="Calibri" w:cs="Arial"/>
          <w:b w:val="false"/>
          <w:bCs/>
          <w:color w:val="000000"/>
          <w:kern w:val="0"/>
          <w:sz w:val="20"/>
          <w:szCs w:val="20"/>
          <w:shd w:fill="auto" w:val="clear"/>
          <w:lang w:val="pt-BR" w:eastAsia="zh-CN" w:bidi="hi-IN"/>
        </w:rPr>
      </w:pPr>
      <w:r>
        <w:rPr>
          <w:rFonts w:eastAsia="Calibri" w:cs="Arial" w:ascii="Verdana" w:hAnsi="Verdana"/>
          <w:b w:val="false"/>
          <w:bCs/>
          <w:color w:val="000000"/>
          <w:kern w:val="0"/>
          <w:sz w:val="20"/>
          <w:szCs w:val="20"/>
          <w:shd w:fill="auto" w:val="clear"/>
          <w:lang w:val="pt-BR" w:eastAsia="zh-CN" w:bidi="hi-IN"/>
        </w:rPr>
      </w:r>
    </w:p>
    <w:p>
      <w:pPr>
        <w:pStyle w:val="Nivel1"/>
        <w:spacing w:lineRule="auto" w:line="240" w:before="0" w:after="0"/>
        <w:ind w:hanging="0" w:left="0" w:right="0"/>
        <w:rPr>
          <w:rFonts w:ascii="Verdana" w:hAnsi="Verdana"/>
          <w:sz w:val="20"/>
          <w:szCs w:val="20"/>
        </w:rPr>
      </w:pPr>
      <w:r>
        <w:rPr>
          <w:rFonts w:cs="Times New Roman" w:ascii="Verdana" w:hAnsi="Verdana"/>
          <w:bCs/>
          <w:sz w:val="20"/>
          <w:szCs w:val="20"/>
        </w:rPr>
        <w:t>3. DESCRIÇÃO DA SOLUÇÃO (conforme item 9 do ETP)</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3.1. A solução compreende a contratação de empresa especializada em engenharia para a execução de obra de construção de sanitários, reforma de piso e impermeabilização técnica do telhado dos depósitos da EMEIC Francisco José Mattedi.</w:t>
      </w:r>
    </w:p>
    <w:p>
      <w:pPr>
        <w:pStyle w:val="Normal"/>
        <w:tabs>
          <w:tab w:val="clear" w:pos="708"/>
          <w:tab w:val="left" w:pos="570" w:leader="none"/>
          <w:tab w:val="left" w:pos="720" w:leader="none"/>
          <w:tab w:val="left" w:pos="1140" w:leader="none"/>
        </w:tabs>
        <w:spacing w:lineRule="auto" w:line="240"/>
        <w:jc w:val="both"/>
        <w:rPr>
          <w:rFonts w:ascii="Verdana" w:hAnsi="Verdana"/>
          <w:sz w:val="20"/>
          <w:szCs w:val="20"/>
        </w:rPr>
      </w:pPr>
      <w:r>
        <w:rPr>
          <w:rFonts w:ascii="Verdana" w:hAnsi="Verdana"/>
          <w:b w:val="false"/>
          <w:bCs w:val="false"/>
          <w:sz w:val="20"/>
          <w:szCs w:val="20"/>
        </w:rPr>
        <w:t>3.2. A execução será realizada em etapa única (empreitada global), devendo a empresa entregar a estrutura totalmente funcional, com garantia de estanqueidade no telhado e segurança estrutural, mediante fiscalização técnica e emissão de termo de recebimento definitivo.</w:t>
      </w:r>
    </w:p>
    <w:p>
      <w:pPr>
        <w:pStyle w:val="Normal"/>
        <w:spacing w:lineRule="auto" w:line="240" w:before="0" w:after="0"/>
        <w:jc w:val="both"/>
        <w:rPr>
          <w:rFonts w:ascii="Verdana" w:hAnsi="Verdana"/>
          <w:sz w:val="20"/>
          <w:szCs w:val="20"/>
        </w:rPr>
      </w:pPr>
      <w:r>
        <w:rPr>
          <w:rFonts w:cs="Arial" w:ascii="Verdana" w:hAnsi="Verdana"/>
          <w:b w:val="false"/>
          <w:bCs w:val="false"/>
          <w:color w:val="000000"/>
          <w:sz w:val="20"/>
          <w:szCs w:val="20"/>
          <w:shd w:fill="auto" w:val="clear"/>
        </w:rPr>
        <w:t>3.3. O certame e a respectiva contratação reger-se-ão pela Lei Federal nº 14.133/2021 (Nova Lei de Licitações e Contratos), com a adoção do critério de julgamento por Menor Preço, observando-se as normas técnicas da ABNT e as exigências de segurança do trabalho e logística rural descritas neste estudo.</w:t>
      </w:r>
    </w:p>
    <w:p>
      <w:pPr>
        <w:pStyle w:val="Normal"/>
        <w:spacing w:lineRule="auto" w:line="240" w:before="0" w:after="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ind w:hanging="0" w:left="0" w:right="0"/>
        <w:jc w:val="both"/>
        <w:rPr>
          <w:rFonts w:ascii="Verdana" w:hAnsi="Verdana"/>
          <w:sz w:val="20"/>
          <w:szCs w:val="20"/>
        </w:rPr>
      </w:pPr>
      <w:r>
        <w:rPr>
          <w:rFonts w:ascii="Verdana" w:hAnsi="Verdana"/>
          <w:b/>
          <w:bCs/>
          <w:sz w:val="20"/>
          <w:szCs w:val="20"/>
          <w:shd w:fill="auto" w:val="clear"/>
        </w:rPr>
        <w:t>4. REQUISITOS DA CONTRATAÇÃO</w:t>
      </w:r>
    </w:p>
    <w:p>
      <w:pPr>
        <w:pStyle w:val="normal2"/>
        <w:spacing w:lineRule="auto" w:line="240" w:before="0" w:after="0"/>
        <w:jc w:val="both"/>
        <w:rPr>
          <w:rFonts w:ascii="Verdana" w:hAnsi="Verdana"/>
          <w:sz w:val="20"/>
          <w:szCs w:val="20"/>
        </w:rPr>
      </w:pPr>
      <w:r>
        <w:rPr>
          <w:rFonts w:ascii="Verdana" w:hAnsi="Verdana"/>
          <w:b w:val="false"/>
          <w:sz w:val="20"/>
          <w:szCs w:val="20"/>
          <w:shd w:fill="auto" w:val="clear"/>
        </w:rPr>
        <w:t xml:space="preserve"> </w:t>
      </w:r>
      <w:r>
        <w:rPr>
          <w:rFonts w:ascii="Verdana" w:hAnsi="Verdana"/>
          <w:b w:val="false"/>
          <w:sz w:val="20"/>
          <w:szCs w:val="20"/>
          <w:shd w:fill="auto" w:val="clear"/>
        </w:rPr>
        <w:t>4</w:t>
      </w:r>
      <w:r>
        <w:rPr>
          <w:rFonts w:eastAsia="Arial" w:ascii="Verdana" w:hAnsi="Verdana"/>
          <w:b w:val="false"/>
          <w:sz w:val="20"/>
          <w:szCs w:val="20"/>
          <w:shd w:fill="auto" w:val="clear"/>
        </w:rPr>
        <w:t>.1. Os serviços consistem na construção de sanitários, reforma de piso e impermeabilização do telhado da EMEIC Francisco José Mattedi, com fornecimento integral de materiais (piso cerâmico, louças, impermeabilizantes, entre outros), equipamentos, transporte e mão de obra especializada.</w:t>
      </w:r>
    </w:p>
    <w:p>
      <w:pPr>
        <w:pStyle w:val="Normal"/>
        <w:spacing w:lineRule="auto" w:line="240"/>
        <w:jc w:val="both"/>
        <w:rPr>
          <w:rFonts w:ascii="Verdana" w:hAnsi="Verdana"/>
          <w:sz w:val="20"/>
          <w:szCs w:val="20"/>
        </w:rPr>
      </w:pPr>
      <w:r>
        <w:rPr>
          <w:rFonts w:eastAsia="Arial" w:ascii="Verdana" w:hAnsi="Verdana"/>
          <w:sz w:val="20"/>
          <w:szCs w:val="20"/>
        </w:rPr>
        <w:t>4.2. Após a emissão da Ordem de Serviço, a empresa contratada deverá executar integralmente as obras no prazo de 120 (cento e vinte) dias com início da obra até 15 (quinze) dias após a emissão da autorização de fornecimento/execução, emitida pelo Departamento de Compras e Contratos e cronograma físico-financeiro.</w:t>
      </w:r>
    </w:p>
    <w:p>
      <w:pPr>
        <w:pStyle w:val="Normal"/>
        <w:spacing w:lineRule="auto" w:line="240"/>
        <w:jc w:val="both"/>
        <w:rPr>
          <w:rFonts w:ascii="Verdana" w:hAnsi="Verdana"/>
          <w:sz w:val="20"/>
          <w:szCs w:val="20"/>
        </w:rPr>
      </w:pPr>
      <w:r>
        <w:rPr>
          <w:rFonts w:eastAsia="Arial" w:ascii="Verdana" w:hAnsi="Verdana"/>
          <w:sz w:val="20"/>
          <w:szCs w:val="20"/>
        </w:rPr>
        <w:t>O referido prazo foi definido com base na complexidade moderada da intervenção, considerando:</w:t>
      </w:r>
    </w:p>
    <w:p>
      <w:pPr>
        <w:pStyle w:val="Normal"/>
        <w:numPr>
          <w:ilvl w:val="0"/>
          <w:numId w:val="1"/>
        </w:numPr>
        <w:spacing w:lineRule="auto" w:line="240"/>
        <w:jc w:val="both"/>
        <w:rPr>
          <w:rFonts w:ascii="Verdana" w:hAnsi="Verdana"/>
          <w:sz w:val="20"/>
          <w:szCs w:val="20"/>
        </w:rPr>
      </w:pPr>
      <w:r>
        <w:rPr>
          <w:rFonts w:eastAsia="Arial" w:ascii="Verdana" w:hAnsi="Verdana"/>
          <w:sz w:val="20"/>
          <w:szCs w:val="20"/>
        </w:rPr>
        <w:t xml:space="preserve">Execução simultânea das frentes de trabalho (telhado, piso e sanitários); </w:t>
      </w:r>
    </w:p>
    <w:p>
      <w:pPr>
        <w:pStyle w:val="Normal"/>
        <w:numPr>
          <w:ilvl w:val="0"/>
          <w:numId w:val="1"/>
        </w:numPr>
        <w:spacing w:lineRule="auto" w:line="240"/>
        <w:jc w:val="both"/>
        <w:rPr>
          <w:rFonts w:ascii="Verdana" w:hAnsi="Verdana"/>
          <w:sz w:val="20"/>
          <w:szCs w:val="20"/>
        </w:rPr>
      </w:pPr>
      <w:r>
        <w:rPr>
          <w:rFonts w:eastAsia="Arial" w:ascii="Verdana" w:hAnsi="Verdana"/>
          <w:sz w:val="20"/>
          <w:szCs w:val="20"/>
        </w:rPr>
        <w:t xml:space="preserve">Dimensionamento adequado de equipe técnica pela contratada; </w:t>
      </w:r>
    </w:p>
    <w:p>
      <w:pPr>
        <w:pStyle w:val="Normal"/>
        <w:numPr>
          <w:ilvl w:val="0"/>
          <w:numId w:val="1"/>
        </w:numPr>
        <w:spacing w:lineRule="auto" w:line="240"/>
        <w:jc w:val="both"/>
        <w:rPr>
          <w:rFonts w:ascii="Verdana" w:hAnsi="Verdana"/>
          <w:sz w:val="20"/>
          <w:szCs w:val="20"/>
        </w:rPr>
      </w:pPr>
      <w:r>
        <w:rPr>
          <w:rFonts w:eastAsia="Arial" w:ascii="Verdana" w:hAnsi="Verdana"/>
          <w:sz w:val="20"/>
          <w:szCs w:val="20"/>
        </w:rPr>
        <w:t xml:space="preserve">Pequena metragem da área a ser construída e/ou reformada; </w:t>
      </w:r>
    </w:p>
    <w:p>
      <w:pPr>
        <w:pStyle w:val="Normal"/>
        <w:numPr>
          <w:ilvl w:val="0"/>
          <w:numId w:val="1"/>
        </w:numPr>
        <w:spacing w:lineRule="auto" w:line="240"/>
        <w:jc w:val="both"/>
        <w:rPr>
          <w:rFonts w:ascii="Verdana" w:hAnsi="Verdana"/>
          <w:sz w:val="20"/>
          <w:szCs w:val="20"/>
        </w:rPr>
      </w:pPr>
      <w:r>
        <w:rPr>
          <w:rFonts w:eastAsia="Arial" w:ascii="Verdana" w:hAnsi="Verdana"/>
          <w:sz w:val="20"/>
          <w:szCs w:val="20"/>
        </w:rPr>
        <w:t xml:space="preserve">Condições climáticas predominantemente favoráveis da região. </w:t>
      </w:r>
    </w:p>
    <w:p>
      <w:pPr>
        <w:pStyle w:val="Normal"/>
        <w:spacing w:lineRule="auto" w:line="240"/>
        <w:jc w:val="both"/>
        <w:rPr>
          <w:rFonts w:ascii="Verdana" w:hAnsi="Verdana"/>
          <w:sz w:val="20"/>
          <w:szCs w:val="20"/>
        </w:rPr>
      </w:pPr>
      <w:r>
        <w:rPr>
          <w:rFonts w:eastAsia="Arial" w:ascii="Verdana" w:hAnsi="Verdana"/>
          <w:sz w:val="20"/>
          <w:szCs w:val="20"/>
        </w:rPr>
        <w:t>O prazo poderá ser prorrogado, excepcionalmente, mediante justificativa técnica devidamente fundamentada pela contratada e aprovada pela fiscalização, em caso de condições climáticas adversas ou intercorrências técnicas, nos termos da Lei nº 14.133/2021.</w:t>
      </w:r>
    </w:p>
    <w:p>
      <w:pPr>
        <w:pStyle w:val="Normal"/>
        <w:spacing w:lineRule="auto" w:line="240"/>
        <w:jc w:val="both"/>
        <w:rPr>
          <w:rFonts w:ascii="Verdana" w:hAnsi="Verdana" w:eastAsia="Arial"/>
          <w:bCs/>
          <w:sz w:val="20"/>
          <w:szCs w:val="20"/>
        </w:rPr>
      </w:pPr>
      <w:r>
        <w:rPr>
          <w:rFonts w:eastAsia="Arial" w:ascii="Verdana" w:hAnsi="Verdana"/>
          <w:bCs/>
          <w:sz w:val="20"/>
          <w:szCs w:val="20"/>
        </w:rPr>
      </w:r>
    </w:p>
    <w:p>
      <w:pPr>
        <w:pStyle w:val="Normal"/>
        <w:spacing w:lineRule="auto" w:line="240"/>
        <w:jc w:val="both"/>
        <w:rPr>
          <w:rFonts w:ascii="Verdana" w:hAnsi="Verdana"/>
          <w:sz w:val="20"/>
          <w:szCs w:val="20"/>
        </w:rPr>
      </w:pPr>
      <w:r>
        <w:rPr>
          <w:rFonts w:eastAsia="Arial" w:ascii="Verdana" w:hAnsi="Verdana"/>
          <w:bCs/>
          <w:sz w:val="20"/>
          <w:szCs w:val="20"/>
        </w:rPr>
        <w:t xml:space="preserve">4.3. </w:t>
      </w:r>
      <w:r>
        <w:rPr>
          <w:rFonts w:eastAsia="Arial" w:ascii="Verdana" w:hAnsi="Verdana"/>
          <w:b/>
          <w:bCs/>
          <w:sz w:val="20"/>
          <w:szCs w:val="20"/>
        </w:rPr>
        <w:t xml:space="preserve">Relatórios e Registros: </w:t>
      </w:r>
      <w:r>
        <w:rPr>
          <w:rFonts w:eastAsia="Arial" w:ascii="Verdana" w:hAnsi="Verdana"/>
          <w:bCs/>
          <w:sz w:val="20"/>
          <w:szCs w:val="20"/>
        </w:rPr>
        <w:t>A contratada deverá apresentar Relatório Fotográfico detalhado contendo fotos do "antes", "durante" (especialmente das fases de tubulações embutidas e camadas de impermeabilização) e "depois" da conclusão dos serviços.</w:t>
      </w:r>
    </w:p>
    <w:p>
      <w:pPr>
        <w:pStyle w:val="Normal"/>
        <w:spacing w:lineRule="auto" w:line="240"/>
        <w:jc w:val="both"/>
        <w:rPr>
          <w:rFonts w:ascii="Verdana" w:hAnsi="Verdana"/>
          <w:sz w:val="20"/>
          <w:szCs w:val="20"/>
        </w:rPr>
      </w:pPr>
      <w:r>
        <w:rPr>
          <w:rFonts w:eastAsia="Arial" w:ascii="Verdana" w:hAnsi="Verdana"/>
          <w:bCs/>
          <w:sz w:val="20"/>
          <w:szCs w:val="20"/>
        </w:rPr>
        <w:t xml:space="preserve">4.4. </w:t>
      </w:r>
      <w:r>
        <w:rPr>
          <w:rFonts w:eastAsia="Arial" w:ascii="Verdana" w:hAnsi="Verdana"/>
          <w:b/>
          <w:bCs/>
          <w:sz w:val="20"/>
          <w:szCs w:val="20"/>
        </w:rPr>
        <w:t xml:space="preserve">Provas de Qualidade: </w:t>
      </w:r>
      <w:r>
        <w:rPr>
          <w:rFonts w:eastAsia="Arial" w:ascii="Verdana" w:hAnsi="Verdana"/>
          <w:bCs/>
          <w:sz w:val="20"/>
          <w:szCs w:val="20"/>
        </w:rPr>
        <w:t>Ao final da execução, a contratada deverá realizar o Teste de Estanqueidade (mínimo 72 horas) no telhado e apresentar o respectivo Termo de Garantia dos serviços por 05 (cinco) anos.</w:t>
      </w:r>
    </w:p>
    <w:p>
      <w:pPr>
        <w:pStyle w:val="Normal"/>
        <w:spacing w:lineRule="auto" w:line="240"/>
        <w:jc w:val="both"/>
        <w:rPr>
          <w:rFonts w:ascii="Verdana" w:hAnsi="Verdana"/>
          <w:sz w:val="20"/>
          <w:szCs w:val="20"/>
        </w:rPr>
      </w:pPr>
      <w:r>
        <w:rPr>
          <w:rFonts w:eastAsia="Arial" w:ascii="Verdana" w:hAnsi="Verdana"/>
          <w:bCs/>
          <w:sz w:val="20"/>
          <w:szCs w:val="20"/>
        </w:rPr>
        <w:t xml:space="preserve">4.5. </w:t>
      </w:r>
      <w:r>
        <w:rPr>
          <w:rFonts w:eastAsia="Arial" w:ascii="Verdana" w:hAnsi="Verdana"/>
          <w:b/>
          <w:bCs/>
          <w:sz w:val="20"/>
          <w:szCs w:val="20"/>
        </w:rPr>
        <w:t xml:space="preserve">Regime de Execução: </w:t>
      </w:r>
      <w:r>
        <w:rPr>
          <w:rFonts w:eastAsia="Arial" w:ascii="Verdana" w:hAnsi="Verdana"/>
          <w:bCs/>
          <w:sz w:val="20"/>
          <w:szCs w:val="20"/>
        </w:rPr>
        <w:t>A contratação será realizada por Empreitada por Preço Global, garantindo a entrega da obra completa e funcional.</w:t>
      </w:r>
    </w:p>
    <w:p>
      <w:pPr>
        <w:pStyle w:val="Normal"/>
        <w:spacing w:lineRule="auto" w:line="240"/>
        <w:jc w:val="both"/>
        <w:rPr>
          <w:rFonts w:ascii="Verdana" w:hAnsi="Verdana"/>
          <w:sz w:val="20"/>
          <w:szCs w:val="20"/>
        </w:rPr>
      </w:pPr>
      <w:r>
        <w:rPr>
          <w:rFonts w:eastAsia="Arial" w:ascii="Verdana" w:hAnsi="Verdana"/>
          <w:bCs/>
          <w:sz w:val="20"/>
          <w:szCs w:val="20"/>
        </w:rPr>
        <w:t xml:space="preserve">4.6. </w:t>
      </w:r>
      <w:r>
        <w:rPr>
          <w:rFonts w:eastAsia="Arial" w:ascii="Verdana" w:hAnsi="Verdana"/>
          <w:b/>
          <w:bCs/>
          <w:sz w:val="20"/>
          <w:szCs w:val="20"/>
        </w:rPr>
        <w:t xml:space="preserve">Composição de Preços: </w:t>
      </w:r>
      <w:r>
        <w:rPr>
          <w:rFonts w:eastAsia="Arial" w:ascii="Verdana" w:hAnsi="Verdana"/>
          <w:bCs/>
          <w:sz w:val="20"/>
          <w:szCs w:val="20"/>
        </w:rPr>
        <w:t>Nos preços ofertados deverão estar incluídas todas as despesas diretas e indiretas (BDI), tais como mão de obra, materiais, encargos trabalhistas, previdenciários, fiscais, transporte para zona rural (23 km), seguros e lucro.</w:t>
      </w:r>
    </w:p>
    <w:p>
      <w:pPr>
        <w:pStyle w:val="Normal"/>
        <w:spacing w:lineRule="auto" w:line="240"/>
        <w:jc w:val="both"/>
        <w:rPr>
          <w:rFonts w:ascii="Verdana" w:hAnsi="Verdana"/>
          <w:sz w:val="20"/>
          <w:szCs w:val="20"/>
        </w:rPr>
      </w:pPr>
      <w:r>
        <w:rPr>
          <w:rFonts w:eastAsia="Arial" w:ascii="Verdana" w:hAnsi="Verdana"/>
          <w:bCs/>
          <w:sz w:val="20"/>
          <w:szCs w:val="20"/>
        </w:rPr>
        <w:t>4.7.</w:t>
      </w:r>
      <w:r>
        <w:rPr>
          <w:rFonts w:eastAsia="Arial" w:ascii="Verdana" w:hAnsi="Verdana"/>
          <w:b/>
          <w:bCs/>
          <w:sz w:val="20"/>
          <w:szCs w:val="20"/>
        </w:rPr>
        <w:t xml:space="preserve"> Insumos: </w:t>
      </w:r>
      <w:r>
        <w:rPr>
          <w:rFonts w:eastAsia="Arial" w:ascii="Verdana" w:hAnsi="Verdana"/>
          <w:bCs/>
          <w:sz w:val="20"/>
          <w:szCs w:val="20"/>
        </w:rPr>
        <w:t>Todos os insumos, ferramentas (andaimes, betoneiras, escadas) e equipamentos de segurança (EPIs) serão de responsabilidade exclusiva da contratada.</w:t>
      </w:r>
    </w:p>
    <w:p>
      <w:pPr>
        <w:pStyle w:val="Normal"/>
        <w:spacing w:lineRule="auto" w:line="240"/>
        <w:jc w:val="both"/>
        <w:rPr>
          <w:rFonts w:ascii="Verdana" w:hAnsi="Verdana"/>
          <w:sz w:val="20"/>
          <w:szCs w:val="20"/>
        </w:rPr>
      </w:pPr>
      <w:r>
        <w:rPr>
          <w:rFonts w:eastAsia="Arial" w:ascii="Verdana" w:hAnsi="Verdana"/>
          <w:bCs/>
          <w:sz w:val="20"/>
          <w:szCs w:val="20"/>
        </w:rPr>
        <w:t xml:space="preserve">4.8. </w:t>
      </w:r>
      <w:r>
        <w:rPr>
          <w:rFonts w:eastAsia="Arial" w:ascii="Verdana" w:hAnsi="Verdana"/>
          <w:b/>
          <w:bCs/>
          <w:sz w:val="20"/>
          <w:szCs w:val="20"/>
        </w:rPr>
        <w:t xml:space="preserve">Vigência: </w:t>
      </w:r>
      <w:r>
        <w:rPr>
          <w:rFonts w:eastAsia="Arial" w:ascii="Verdana" w:hAnsi="Verdana"/>
          <w:bCs/>
          <w:sz w:val="20"/>
          <w:szCs w:val="20"/>
        </w:rPr>
        <w:t>O contrato terá vigência vinculada à conclusão do objeto e recebimento definitivo da obra. Diferente de serviços contínuos, a vigência encerra-se com a entrega do produto, podendo ser prorrogada apenas para conclusão de etapas pendentes, nos termos da Lei nº 14.133/2021.</w:t>
      </w:r>
    </w:p>
    <w:p>
      <w:pPr>
        <w:pStyle w:val="Normal"/>
        <w:spacing w:lineRule="auto" w:line="240"/>
        <w:jc w:val="both"/>
        <w:rPr>
          <w:rFonts w:ascii="Verdana" w:hAnsi="Verdana" w:eastAsia="Arial"/>
          <w:bCs/>
          <w:sz w:val="20"/>
          <w:szCs w:val="20"/>
        </w:rPr>
      </w:pPr>
      <w:r>
        <w:rPr>
          <w:rFonts w:eastAsia="Arial" w:ascii="Verdana" w:hAnsi="Verdana"/>
          <w:bCs/>
          <w:sz w:val="20"/>
          <w:szCs w:val="20"/>
        </w:rPr>
      </w:r>
    </w:p>
    <w:p>
      <w:pPr>
        <w:pStyle w:val="Normal"/>
        <w:spacing w:lineRule="auto" w:line="240"/>
        <w:rPr>
          <w:rFonts w:ascii="Verdana" w:hAnsi="Verdana"/>
          <w:sz w:val="20"/>
          <w:szCs w:val="20"/>
        </w:rPr>
      </w:pPr>
      <w:r>
        <w:rPr>
          <w:rFonts w:eastAsia="Calibri" w:ascii="Verdana" w:hAnsi="Verdana"/>
          <w:b/>
          <w:bCs/>
          <w:sz w:val="20"/>
          <w:szCs w:val="20"/>
        </w:rPr>
        <w:t>4.9. Os serviços deverão compreender, no mínimo, as seguintes etapas técnicas:</w:t>
      </w:r>
    </w:p>
    <w:p>
      <w:pPr>
        <w:pStyle w:val="Normal"/>
        <w:spacing w:lineRule="auto" w:line="240"/>
        <w:rPr>
          <w:rFonts w:ascii="Verdana" w:hAnsi="Verdana"/>
          <w:sz w:val="20"/>
          <w:szCs w:val="20"/>
        </w:rPr>
      </w:pPr>
      <w:r>
        <w:rPr>
          <w:rFonts w:eastAsia="Calibri" w:ascii="Verdana" w:hAnsi="Verdana"/>
          <w:sz w:val="20"/>
          <w:szCs w:val="20"/>
        </w:rPr>
        <w:t>I - Para a Impermeabilização do Telhado:</w:t>
      </w:r>
    </w:p>
    <w:p>
      <w:pPr>
        <w:pStyle w:val="Normal"/>
        <w:numPr>
          <w:ilvl w:val="0"/>
          <w:numId w:val="4"/>
        </w:numPr>
        <w:spacing w:lineRule="auto" w:line="240"/>
        <w:rPr>
          <w:rFonts w:ascii="Verdana" w:hAnsi="Verdana"/>
          <w:sz w:val="20"/>
          <w:szCs w:val="20"/>
        </w:rPr>
      </w:pPr>
      <w:r>
        <w:rPr>
          <w:rFonts w:eastAsia="Calibri" w:ascii="Verdana" w:hAnsi="Verdana"/>
          <w:sz w:val="20"/>
          <w:szCs w:val="20"/>
        </w:rPr>
        <w:t>Limpeza e Preparação: Remoção de detritos, crostas e materiais soltos de toda a superfície da cobertura e calhas;</w:t>
      </w:r>
    </w:p>
    <w:p>
      <w:pPr>
        <w:pStyle w:val="Normal"/>
        <w:numPr>
          <w:ilvl w:val="0"/>
          <w:numId w:val="4"/>
        </w:numPr>
        <w:spacing w:lineRule="auto" w:line="240"/>
        <w:rPr>
          <w:rFonts w:ascii="Verdana" w:hAnsi="Verdana"/>
          <w:sz w:val="20"/>
          <w:szCs w:val="20"/>
        </w:rPr>
      </w:pPr>
      <w:r>
        <w:rPr>
          <w:rFonts w:eastAsia="Calibri" w:ascii="Verdana" w:hAnsi="Verdana"/>
          <w:sz w:val="20"/>
          <w:szCs w:val="20"/>
        </w:rPr>
        <w:t>Tratamento de Pontos Críticos: Identificação e vedação de fissuras, furos nas telhas e correção de sobreposições inadequadas;</w:t>
      </w:r>
    </w:p>
    <w:p>
      <w:pPr>
        <w:pStyle w:val="Normal"/>
        <w:numPr>
          <w:ilvl w:val="0"/>
          <w:numId w:val="4"/>
        </w:numPr>
        <w:spacing w:lineRule="auto" w:line="240"/>
        <w:rPr>
          <w:rFonts w:ascii="Verdana" w:hAnsi="Verdana"/>
          <w:sz w:val="20"/>
          <w:szCs w:val="20"/>
        </w:rPr>
      </w:pPr>
      <w:r>
        <w:rPr>
          <w:rFonts w:eastAsia="Calibri" w:ascii="Verdana" w:hAnsi="Verdana"/>
          <w:sz w:val="20"/>
          <w:szCs w:val="20"/>
        </w:rPr>
        <w:t>Aplicação do Sistema de Impermeabilização: Execução de camada impermeabilizante (conforme especificado em projeto), garantindo a proteção contra intempéries e a estanqueidade total da estrutura;</w:t>
      </w:r>
    </w:p>
    <w:p>
      <w:pPr>
        <w:pStyle w:val="Normal"/>
        <w:numPr>
          <w:ilvl w:val="0"/>
          <w:numId w:val="4"/>
        </w:numPr>
        <w:spacing w:lineRule="auto" w:line="240"/>
        <w:rPr>
          <w:rFonts w:ascii="Verdana" w:hAnsi="Verdana"/>
          <w:sz w:val="20"/>
          <w:szCs w:val="20"/>
        </w:rPr>
      </w:pPr>
      <w:r>
        <w:rPr>
          <w:rFonts w:eastAsia="Calibri" w:ascii="Verdana" w:hAnsi="Verdana"/>
          <w:sz w:val="20"/>
          <w:szCs w:val="20"/>
        </w:rPr>
        <w:t>Teste de Estanqueidade: Realização de prova de carga de água ou simulação de chuva intensa por um período mínimo de 72 horas para validação da eficácia do serviço.</w:t>
      </w:r>
    </w:p>
    <w:p>
      <w:pPr>
        <w:pStyle w:val="Normal"/>
        <w:spacing w:lineRule="auto" w:line="240"/>
        <w:rPr>
          <w:rFonts w:ascii="Verdana" w:hAnsi="Verdana"/>
          <w:sz w:val="20"/>
          <w:szCs w:val="20"/>
        </w:rPr>
      </w:pPr>
      <w:r>
        <w:rPr>
          <w:rFonts w:eastAsia="Calibri" w:ascii="Verdana" w:hAnsi="Verdana"/>
          <w:sz w:val="20"/>
          <w:szCs w:val="20"/>
        </w:rPr>
        <w:t>II - Para a Construção dos Sanitários e Reforma do Piso:</w:t>
      </w:r>
    </w:p>
    <w:p>
      <w:pPr>
        <w:pStyle w:val="Normal"/>
        <w:numPr>
          <w:ilvl w:val="0"/>
          <w:numId w:val="5"/>
        </w:numPr>
        <w:spacing w:lineRule="auto" w:line="240"/>
        <w:ind w:hanging="357" w:left="714"/>
        <w:rPr>
          <w:rFonts w:ascii="Verdana" w:hAnsi="Verdana"/>
          <w:sz w:val="20"/>
          <w:szCs w:val="20"/>
        </w:rPr>
      </w:pPr>
      <w:r>
        <w:rPr>
          <w:rFonts w:eastAsia="Calibri" w:ascii="Verdana" w:hAnsi="Verdana"/>
          <w:sz w:val="20"/>
          <w:szCs w:val="20"/>
        </w:rPr>
        <w:t>Infraestrutura e Alvenaria: Execução de fundações (se necessário), levantamento de paredes, instalações hidrossanitárias (esgoto e água fria) e fiação elétrica;</w:t>
      </w:r>
    </w:p>
    <w:p>
      <w:pPr>
        <w:pStyle w:val="Normal"/>
        <w:numPr>
          <w:ilvl w:val="0"/>
          <w:numId w:val="5"/>
        </w:numPr>
        <w:spacing w:lineRule="auto" w:line="240"/>
        <w:ind w:hanging="357" w:left="714"/>
        <w:rPr>
          <w:rFonts w:ascii="Verdana" w:hAnsi="Verdana"/>
          <w:sz w:val="20"/>
          <w:szCs w:val="20"/>
        </w:rPr>
      </w:pPr>
      <w:r>
        <w:rPr>
          <w:rFonts w:eastAsia="Calibri" w:ascii="Verdana" w:hAnsi="Verdana"/>
          <w:sz w:val="20"/>
          <w:szCs w:val="20"/>
        </w:rPr>
        <w:t>Nivelamento e Contrapiso: Regularização do solo na área de serviço para eliminação de desníveis e pontos de acúmulo de água;</w:t>
      </w:r>
    </w:p>
    <w:p>
      <w:pPr>
        <w:pStyle w:val="Normal"/>
        <w:numPr>
          <w:ilvl w:val="0"/>
          <w:numId w:val="5"/>
        </w:numPr>
        <w:spacing w:lineRule="auto" w:line="240"/>
        <w:ind w:hanging="357" w:left="714"/>
        <w:rPr>
          <w:rFonts w:ascii="Verdana" w:hAnsi="Verdana"/>
          <w:sz w:val="20"/>
          <w:szCs w:val="20"/>
        </w:rPr>
      </w:pPr>
      <w:r>
        <w:rPr>
          <w:rFonts w:eastAsia="Calibri" w:ascii="Verdana" w:hAnsi="Verdana"/>
          <w:sz w:val="20"/>
          <w:szCs w:val="20"/>
        </w:rPr>
        <w:t>Acabamento: Assentamento de piso cerâmico antiderrapante (PEI alto) e revestimento das paredes do sanitário, com vistas a facilidade de higienização;</w:t>
      </w:r>
    </w:p>
    <w:p>
      <w:pPr>
        <w:pStyle w:val="Normal"/>
        <w:numPr>
          <w:ilvl w:val="0"/>
          <w:numId w:val="5"/>
        </w:numPr>
        <w:spacing w:lineRule="auto" w:line="240"/>
        <w:ind w:hanging="357" w:left="714"/>
        <w:rPr>
          <w:rFonts w:ascii="Verdana" w:hAnsi="Verdana"/>
          <w:sz w:val="20"/>
          <w:szCs w:val="20"/>
        </w:rPr>
      </w:pPr>
      <w:r>
        <w:rPr>
          <w:rFonts w:eastAsia="Calibri" w:ascii="Verdana" w:hAnsi="Verdana"/>
          <w:sz w:val="20"/>
          <w:szCs w:val="20"/>
        </w:rPr>
        <w:t>Instalação de Louças e Metais: Fixação de vasos sanitários, pias e torneiras com foco na durabilidade e economia de água.</w:t>
      </w:r>
    </w:p>
    <w:p>
      <w:pPr>
        <w:pStyle w:val="Normal"/>
        <w:spacing w:lineRule="auto" w:line="240"/>
        <w:ind w:left="714"/>
        <w:rPr>
          <w:rFonts w:ascii="Verdana" w:hAnsi="Verdana" w:eastAsia="Calibri"/>
          <w:sz w:val="20"/>
          <w:szCs w:val="20"/>
        </w:rPr>
      </w:pPr>
      <w:r>
        <w:rPr>
          <w:rFonts w:eastAsia="Calibri" w:ascii="Verdana" w:hAnsi="Verdana"/>
          <w:sz w:val="20"/>
          <w:szCs w:val="20"/>
        </w:rPr>
      </w:r>
    </w:p>
    <w:p>
      <w:pPr>
        <w:pStyle w:val="Normal"/>
        <w:spacing w:lineRule="auto" w:line="240" w:before="0" w:after="160"/>
        <w:jc w:val="both"/>
        <w:rPr>
          <w:rFonts w:ascii="Verdana" w:hAnsi="Verdana"/>
          <w:sz w:val="20"/>
          <w:szCs w:val="20"/>
        </w:rPr>
      </w:pPr>
      <w:r>
        <w:rPr>
          <w:rFonts w:eastAsia="Calibri" w:ascii="Verdana" w:hAnsi="Verdana"/>
          <w:sz w:val="20"/>
          <w:szCs w:val="20"/>
        </w:rPr>
        <w:t>Os serviços deverão ser executados em conformidade com as normas da ABNT e demais normas técnicas e de segurança do trabalho (EPIs), visando a segurança dos alunos e servidores, a qualidade da obra e a preservação do patrimônio público escolar.</w:t>
      </w:r>
    </w:p>
    <w:p>
      <w:pPr>
        <w:pStyle w:val="Normal"/>
        <w:spacing w:lineRule="auto" w:line="240"/>
        <w:jc w:val="both"/>
        <w:rPr>
          <w:rFonts w:ascii="Verdana" w:hAnsi="Verdana"/>
          <w:sz w:val="20"/>
          <w:szCs w:val="20"/>
        </w:rPr>
      </w:pPr>
      <w:r>
        <w:rPr>
          <w:rFonts w:ascii="Verdana" w:hAnsi="Verdana"/>
          <w:b/>
          <w:bCs/>
          <w:sz w:val="20"/>
          <w:szCs w:val="20"/>
        </w:rPr>
        <w:t>4.10. REQUISITOS TÉCNICOS (conforme descrito no etp e aenxo)</w:t>
      </w:r>
    </w:p>
    <w:p>
      <w:pPr>
        <w:pStyle w:val="Normal"/>
        <w:spacing w:lineRule="auto" w:line="240"/>
        <w:jc w:val="both"/>
        <w:rPr>
          <w:rFonts w:ascii="Verdana" w:hAnsi="Verdana"/>
          <w:sz w:val="20"/>
          <w:szCs w:val="20"/>
        </w:rPr>
      </w:pPr>
      <w:r>
        <w:rPr>
          <w:rFonts w:ascii="Verdana" w:hAnsi="Verdana"/>
          <w:sz w:val="20"/>
          <w:szCs w:val="20"/>
        </w:rPr>
        <w:t>4.10.1. Qualificação Técnico-Operacional (Art. 67, II): Comprovação de aptidão para desempenho de atividade pertinente e compatível em características e quantidades com o objeto desta licitação, mediante apresentação de Atestado de Capacidade Técnica, expedido por pessoa jurídica de direito público ou privado, que comprove a execução satisfatória de serviços de reformas prediais, construção civil e impermeabilização de coberturas/lajes.</w:t>
      </w:r>
    </w:p>
    <w:p>
      <w:pPr>
        <w:pStyle w:val="Normal"/>
        <w:spacing w:lineRule="auto" w:line="240"/>
        <w:jc w:val="both"/>
        <w:rPr>
          <w:rFonts w:ascii="Verdana" w:hAnsi="Verdana"/>
          <w:sz w:val="20"/>
          <w:szCs w:val="20"/>
        </w:rPr>
      </w:pPr>
      <w:r>
        <w:rPr>
          <w:rFonts w:ascii="Verdana" w:hAnsi="Verdana"/>
          <w:sz w:val="20"/>
          <w:szCs w:val="20"/>
        </w:rPr>
        <w:t>4.10.2. Qualificação Técnico-Profissional (Art. 67, I): Apresentação de certidão de registro da empresa e de seu Responsável Técnico (Engenheiro Civil ou Arquiteto) no conselho de classe competente (CREA ou CAU), acompanhada da indicação do profissional que será o responsável pela execução dos serviços, comprovando vínculo com a licitante através de ART (Anotação de Responsabilidade Técnica) ou RRT (Registro de Responsabilidade Técnica).</w:t>
      </w:r>
    </w:p>
    <w:p>
      <w:pPr>
        <w:pStyle w:val="Normal"/>
        <w:spacing w:lineRule="auto" w:line="240"/>
        <w:jc w:val="both"/>
        <w:rPr>
          <w:rFonts w:ascii="Verdana" w:hAnsi="Verdana"/>
          <w:sz w:val="20"/>
          <w:szCs w:val="20"/>
        </w:rPr>
      </w:pPr>
      <w:r>
        <w:rPr>
          <w:rFonts w:ascii="Verdana" w:hAnsi="Verdana"/>
          <w:b/>
          <w:bCs/>
          <w:sz w:val="20"/>
          <w:szCs w:val="20"/>
        </w:rPr>
        <w:t xml:space="preserve">4.10.2.1. Justificativa Técnica para a Qualificação: A exigência de atestados que comprovem a habilitação em engenharia e impermeabilização técnica de coberturas justifica-se pela natureza do dano verificado nos depósitos da EMEIC Francisco José Mattedi. As infiltrações severas comprometem a salubridade e a estrutura do imóvel, exigindo técnica especializada para garantir a estanqueidade total e a vida útil de 5 anos do serviço, evitando desperdício de recursos públicos e riscos à saúde respiratória da comunidade escolar. </w:t>
      </w:r>
      <w:r>
        <w:rPr>
          <w:rFonts w:ascii="Verdana" w:hAnsi="Verdana"/>
          <w:b/>
          <w:bCs/>
          <w:i/>
          <w:iCs/>
          <w:sz w:val="20"/>
          <w:szCs w:val="20"/>
        </w:rPr>
        <w:t>(Texto inserido em atendimento ao Despacho Jurídico).</w:t>
      </w:r>
    </w:p>
    <w:p>
      <w:pPr>
        <w:pStyle w:val="Normal"/>
        <w:spacing w:lineRule="auto" w:line="240"/>
        <w:jc w:val="both"/>
        <w:rPr>
          <w:rFonts w:ascii="Verdana" w:hAnsi="Verdana"/>
          <w:sz w:val="20"/>
          <w:szCs w:val="20"/>
        </w:rPr>
      </w:pPr>
      <w:r>
        <w:rPr>
          <w:rFonts w:ascii="Verdana" w:hAnsi="Verdana"/>
          <w:sz w:val="20"/>
          <w:szCs w:val="20"/>
        </w:rPr>
        <w:t>4.10.3. Padrões de Qualidade e Garantia: A execução dos serviços deverá obedecer rigorosamente às normas da ABNT aplicáveis à construção civil e impermeabilização (NBR 9575 e NBR 9574). O prestador deve obrigatoriamente:</w:t>
      </w:r>
    </w:p>
    <w:p>
      <w:pPr>
        <w:pStyle w:val="Normal"/>
        <w:numPr>
          <w:ilvl w:val="0"/>
          <w:numId w:val="6"/>
        </w:numPr>
        <w:spacing w:lineRule="auto" w:line="240"/>
        <w:jc w:val="both"/>
        <w:rPr>
          <w:rFonts w:ascii="Verdana" w:hAnsi="Verdana"/>
          <w:sz w:val="20"/>
          <w:szCs w:val="20"/>
        </w:rPr>
      </w:pPr>
      <w:r>
        <w:rPr>
          <w:rFonts w:ascii="Verdana" w:hAnsi="Verdana"/>
          <w:sz w:val="20"/>
          <w:szCs w:val="20"/>
        </w:rPr>
        <w:t>Emitir Termo de Garantia dos serviços de impermeabilização por um período mínimo de 05 (cinco) anos, conforme legislação civil vigente;</w:t>
      </w:r>
    </w:p>
    <w:p>
      <w:pPr>
        <w:pStyle w:val="Normal"/>
        <w:numPr>
          <w:ilvl w:val="0"/>
          <w:numId w:val="6"/>
        </w:numPr>
        <w:spacing w:lineRule="auto" w:line="240"/>
        <w:jc w:val="both"/>
        <w:rPr>
          <w:rFonts w:ascii="Verdana" w:hAnsi="Verdana"/>
          <w:sz w:val="20"/>
          <w:szCs w:val="20"/>
        </w:rPr>
      </w:pPr>
      <w:r>
        <w:rPr>
          <w:rFonts w:ascii="Verdana" w:hAnsi="Verdana"/>
          <w:sz w:val="20"/>
          <w:szCs w:val="20"/>
        </w:rPr>
        <w:t>Fornecer o Relatório Fotográfico de todas as etapas (antes, durante e depois), especialmente das áreas impermeabilizadas e tubulações embutidas nos banheiros.</w:t>
      </w:r>
    </w:p>
    <w:p>
      <w:pPr>
        <w:pStyle w:val="Normal"/>
        <w:spacing w:lineRule="auto" w:line="240"/>
        <w:jc w:val="both"/>
        <w:rPr>
          <w:rFonts w:ascii="Verdana" w:hAnsi="Verdana"/>
          <w:sz w:val="20"/>
          <w:szCs w:val="20"/>
        </w:rPr>
      </w:pPr>
      <w:r>
        <w:rPr>
          <w:rFonts w:ascii="Verdana" w:hAnsi="Verdana"/>
          <w:sz w:val="20"/>
          <w:szCs w:val="20"/>
        </w:rPr>
        <w:t>4.10.4. Segurança do Trabalho (NRs): Em observância ao dever de cautela da Administração, a empresa deverá comprovar que a equipe técnica possui treinamento vigente e utilize todos os EPIs necessários, com foco em:</w:t>
      </w:r>
    </w:p>
    <w:p>
      <w:pPr>
        <w:pStyle w:val="Normal"/>
        <w:numPr>
          <w:ilvl w:val="0"/>
          <w:numId w:val="7"/>
        </w:numPr>
        <w:spacing w:lineRule="auto" w:line="240"/>
        <w:jc w:val="both"/>
        <w:rPr>
          <w:rFonts w:ascii="Verdana" w:hAnsi="Verdana"/>
          <w:sz w:val="20"/>
          <w:szCs w:val="20"/>
        </w:rPr>
      </w:pPr>
      <w:r>
        <w:rPr>
          <w:rFonts w:ascii="Verdana" w:hAnsi="Verdana"/>
          <w:sz w:val="20"/>
          <w:szCs w:val="20"/>
        </w:rPr>
        <w:t>NR-35 (Trabalho em Altura): Imprescindível para a reforma do telhado dos depósitos;</w:t>
      </w:r>
    </w:p>
    <w:p>
      <w:pPr>
        <w:pStyle w:val="Normal"/>
        <w:numPr>
          <w:ilvl w:val="0"/>
          <w:numId w:val="7"/>
        </w:numPr>
        <w:spacing w:lineRule="auto" w:line="240"/>
        <w:jc w:val="both"/>
        <w:rPr>
          <w:rFonts w:ascii="Verdana" w:hAnsi="Verdana"/>
          <w:sz w:val="20"/>
          <w:szCs w:val="20"/>
        </w:rPr>
      </w:pPr>
      <w:r>
        <w:rPr>
          <w:rFonts w:ascii="Verdana" w:hAnsi="Verdana"/>
          <w:sz w:val="20"/>
          <w:szCs w:val="20"/>
        </w:rPr>
        <w:t>NR-18 (Segurança e Saúde no Trabalho na Indústria da Construção): Obrigatória para canteiros de obra e reformas.</w:t>
      </w:r>
    </w:p>
    <w:p>
      <w:pPr>
        <w:pStyle w:val="Normal"/>
        <w:spacing w:lineRule="auto" w:line="240"/>
        <w:rPr>
          <w:rFonts w:ascii="Verdana" w:hAnsi="Verdana"/>
          <w:sz w:val="20"/>
          <w:szCs w:val="20"/>
        </w:rPr>
      </w:pPr>
      <w:r>
        <w:rPr>
          <w:rFonts w:ascii="Verdana" w:hAnsi="Verdana"/>
          <w:sz w:val="20"/>
          <w:szCs w:val="20"/>
        </w:rPr>
      </w:r>
    </w:p>
    <w:p>
      <w:pPr>
        <w:pStyle w:val="Normal"/>
        <w:spacing w:lineRule="auto" w:line="240"/>
        <w:rPr>
          <w:rFonts w:ascii="Verdana" w:hAnsi="Verdana"/>
          <w:sz w:val="20"/>
          <w:szCs w:val="20"/>
        </w:rPr>
      </w:pPr>
      <w:r>
        <w:rPr>
          <w:rFonts w:ascii="Verdana" w:hAnsi="Verdana"/>
          <w:b/>
          <w:bCs/>
          <w:sz w:val="20"/>
          <w:szCs w:val="20"/>
        </w:rPr>
        <w:t>4.10.5. Logística e Operação em Área Rural</w:t>
      </w:r>
    </w:p>
    <w:p>
      <w:pPr>
        <w:pStyle w:val="Normal"/>
        <w:spacing w:lineRule="auto" w:line="240"/>
        <w:jc w:val="both"/>
        <w:rPr>
          <w:rFonts w:ascii="Verdana" w:hAnsi="Verdana"/>
          <w:sz w:val="20"/>
          <w:szCs w:val="20"/>
        </w:rPr>
      </w:pPr>
      <w:r>
        <w:rPr>
          <w:rFonts w:ascii="Verdana" w:hAnsi="Verdana"/>
          <w:b/>
          <w:bCs/>
          <w:sz w:val="20"/>
          <w:szCs w:val="20"/>
        </w:rPr>
        <w:t>I. Declaração de Ciência e Distância:</w:t>
      </w:r>
      <w:r>
        <w:rPr>
          <w:rFonts w:ascii="Verdana" w:hAnsi="Verdana"/>
          <w:sz w:val="20"/>
          <w:szCs w:val="20"/>
        </w:rPr>
        <w:t xml:space="preserve"> A licitante deverá apresentar declaração formal de que tem pleno conhecimento da localização da </w:t>
      </w:r>
      <w:r>
        <w:rPr>
          <w:rFonts w:ascii="Verdana" w:hAnsi="Verdana"/>
          <w:b/>
          <w:bCs/>
          <w:sz w:val="20"/>
          <w:szCs w:val="20"/>
        </w:rPr>
        <w:t>EMEIC Francisco José Mattedi</w:t>
      </w:r>
      <w:r>
        <w:rPr>
          <w:rFonts w:ascii="Verdana" w:hAnsi="Verdana"/>
          <w:sz w:val="20"/>
          <w:szCs w:val="20"/>
        </w:rPr>
        <w:t xml:space="preserve">, situada no Córrego General Rondon (Vila Fartura), a uma distância aproximada de </w:t>
      </w:r>
      <w:r>
        <w:rPr>
          <w:rFonts w:ascii="Verdana" w:hAnsi="Verdana"/>
          <w:b/>
          <w:bCs/>
          <w:sz w:val="20"/>
          <w:szCs w:val="20"/>
        </w:rPr>
        <w:t>23 km da sede administrativa</w:t>
      </w:r>
      <w:r>
        <w:rPr>
          <w:rFonts w:ascii="Verdana" w:hAnsi="Verdana"/>
          <w:sz w:val="20"/>
          <w:szCs w:val="20"/>
        </w:rPr>
        <w:t xml:space="preserve"> do município.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b/>
          <w:bCs/>
          <w:sz w:val="20"/>
          <w:szCs w:val="20"/>
        </w:rPr>
        <w:t>II. Ônus Logístico:</w:t>
      </w:r>
      <w:r>
        <w:rPr>
          <w:rFonts w:ascii="Verdana" w:hAnsi="Verdana"/>
          <w:sz w:val="20"/>
          <w:szCs w:val="20"/>
        </w:rPr>
        <w:t xml:space="preserve"> Fica sob total responsabilidade da contratada o planejamento e o custeio de:</w:t>
      </w:r>
    </w:p>
    <w:p>
      <w:pPr>
        <w:pStyle w:val="Normal"/>
        <w:numPr>
          <w:ilvl w:val="0"/>
          <w:numId w:val="8"/>
        </w:numPr>
        <w:spacing w:lineRule="auto" w:line="240"/>
        <w:jc w:val="both"/>
        <w:rPr>
          <w:rFonts w:ascii="Verdana" w:hAnsi="Verdana"/>
          <w:sz w:val="20"/>
          <w:szCs w:val="20"/>
        </w:rPr>
      </w:pPr>
      <w:r>
        <w:rPr>
          <w:rFonts w:ascii="Verdana" w:hAnsi="Verdana"/>
          <w:b/>
          <w:bCs/>
          <w:sz w:val="20"/>
          <w:szCs w:val="20"/>
        </w:rPr>
        <w:t>Transporte de Materiais:</w:t>
      </w:r>
      <w:r>
        <w:rPr>
          <w:rFonts w:ascii="Verdana" w:hAnsi="Verdana"/>
          <w:sz w:val="20"/>
          <w:szCs w:val="20"/>
        </w:rPr>
        <w:t xml:space="preserve"> Mobilização de caminhões e veículos de carga adequados às estradas rurais, assegurando o fornecimento contínuo de insumos (areia, cimento, telhas, impermeabilizantes, etc.) sem interrupção do cronograma;</w:t>
      </w:r>
    </w:p>
    <w:p>
      <w:pPr>
        <w:pStyle w:val="Normal"/>
        <w:numPr>
          <w:ilvl w:val="0"/>
          <w:numId w:val="8"/>
        </w:numPr>
        <w:spacing w:lineRule="auto" w:line="240"/>
        <w:jc w:val="both"/>
        <w:rPr>
          <w:rFonts w:ascii="Verdana" w:hAnsi="Verdana"/>
          <w:sz w:val="20"/>
          <w:szCs w:val="20"/>
        </w:rPr>
      </w:pPr>
      <w:r>
        <w:rPr>
          <w:rFonts w:ascii="Verdana" w:hAnsi="Verdana"/>
          <w:b/>
          <w:bCs/>
          <w:sz w:val="20"/>
          <w:szCs w:val="20"/>
        </w:rPr>
        <w:t>Ferramental e Equipamentos:</w:t>
      </w:r>
      <w:r>
        <w:rPr>
          <w:rFonts w:ascii="Verdana" w:hAnsi="Verdana"/>
          <w:sz w:val="20"/>
          <w:szCs w:val="20"/>
        </w:rPr>
        <w:t xml:space="preserve"> Transporte e guarda de betoneiras, andaimes, escadas e demais ferramentas necessárias;</w:t>
      </w:r>
    </w:p>
    <w:p>
      <w:pPr>
        <w:pStyle w:val="Normal"/>
        <w:numPr>
          <w:ilvl w:val="0"/>
          <w:numId w:val="8"/>
        </w:numPr>
        <w:spacing w:lineRule="auto" w:line="240"/>
        <w:jc w:val="both"/>
        <w:rPr>
          <w:rFonts w:ascii="Verdana" w:hAnsi="Verdana"/>
          <w:sz w:val="20"/>
          <w:szCs w:val="20"/>
        </w:rPr>
      </w:pPr>
      <w:r>
        <w:rPr>
          <w:rFonts w:ascii="Verdana" w:hAnsi="Verdana"/>
          <w:b/>
          <w:bCs/>
          <w:sz w:val="20"/>
          <w:szCs w:val="20"/>
        </w:rPr>
        <w:t>Mão de Obra:</w:t>
      </w:r>
      <w:r>
        <w:rPr>
          <w:rFonts w:ascii="Verdana" w:hAnsi="Verdana"/>
          <w:sz w:val="20"/>
          <w:szCs w:val="20"/>
        </w:rPr>
        <w:t xml:space="preserve"> Deslocamento diário ou alojamento/alimentação de pessoal, devendo a empresa assegurar que a equipe esteja no local nos horários previstos para a execução, independentemente da distância.</w:t>
      </w:r>
    </w:p>
    <w:p>
      <w:pPr>
        <w:pStyle w:val="Normal"/>
        <w:spacing w:lineRule="auto" w:line="240"/>
        <w:jc w:val="both"/>
        <w:rPr>
          <w:rFonts w:ascii="Verdana" w:hAnsi="Verdana"/>
          <w:sz w:val="20"/>
          <w:szCs w:val="20"/>
        </w:rPr>
      </w:pPr>
      <w:r>
        <w:rPr>
          <w:rFonts w:ascii="Verdana" w:hAnsi="Verdana"/>
          <w:sz w:val="20"/>
          <w:szCs w:val="20"/>
        </w:rPr>
        <w:t>4.10.6. Gestão Ambiental e Resíduos (Art. 45): Comprovação de capacidade de realizar o manejo e descarte adequado de resíduos da construção civil (entulhos, restos de telhas e embalagens de impermeabilizantes), em conformidade com a Lei nº 12.305/2010 (Política Nacional de Resíduos Sólidos) e resoluções do CONAMA, sendo vedado o descarte de entulhos nas adjacências da escola rural.</w:t>
      </w:r>
    </w:p>
    <w:p>
      <w:pPr>
        <w:pStyle w:val="Normal"/>
        <w:spacing w:lineRule="auto" w:line="240"/>
        <w:jc w:val="both"/>
        <w:rPr>
          <w:rFonts w:ascii="Verdana" w:hAnsi="Verdana" w:eastAsia="Arial"/>
          <w:bCs/>
          <w:sz w:val="20"/>
          <w:szCs w:val="20"/>
        </w:rPr>
      </w:pPr>
      <w:r>
        <w:rPr>
          <w:rFonts w:eastAsia="Arial" w:ascii="Verdana" w:hAnsi="Verdana"/>
          <w:bCs/>
          <w:sz w:val="20"/>
          <w:szCs w:val="20"/>
        </w:rPr>
      </w:r>
    </w:p>
    <w:p>
      <w:pPr>
        <w:pStyle w:val="LO-Normal1"/>
        <w:spacing w:lineRule="auto" w:line="240"/>
        <w:jc w:val="both"/>
        <w:rPr>
          <w:rFonts w:ascii="Verdana" w:hAnsi="Verdana"/>
          <w:sz w:val="20"/>
          <w:szCs w:val="20"/>
        </w:rPr>
      </w:pPr>
      <w:r>
        <w:rPr>
          <w:rFonts w:ascii="Verdana" w:hAnsi="Verdana"/>
          <w:b/>
          <w:bCs/>
          <w:iCs/>
          <w:sz w:val="20"/>
          <w:szCs w:val="20"/>
        </w:rPr>
        <w:t>4.11. QUALIFICAÇÃO TÉCNICA</w:t>
      </w:r>
    </w:p>
    <w:p>
      <w:pPr>
        <w:pStyle w:val="PargrafodaLista"/>
        <w:tabs>
          <w:tab w:val="clear" w:pos="708"/>
          <w:tab w:val="left" w:pos="1052" w:leader="none"/>
        </w:tabs>
        <w:spacing w:lineRule="auto" w:line="240"/>
        <w:ind w:hanging="0" w:left="0" w:right="243"/>
        <w:jc w:val="both"/>
        <w:rPr/>
      </w:pPr>
      <w:r>
        <w:rPr>
          <w:rStyle w:val="Fontepargpadro"/>
          <w:rFonts w:ascii="Verdana" w:hAnsi="Verdana"/>
          <w:iCs/>
          <w:w w:val="105"/>
          <w:sz w:val="20"/>
          <w:szCs w:val="20"/>
        </w:rPr>
        <w:t xml:space="preserve">a) </w:t>
      </w:r>
      <w:r>
        <w:rPr>
          <w:rStyle w:val="Fontepargpadro"/>
          <w:rFonts w:ascii="Verdana" w:hAnsi="Verdana"/>
          <w:w w:val="105"/>
          <w:sz w:val="20"/>
          <w:szCs w:val="20"/>
        </w:rPr>
        <w:t>Comprovante/declaração</w:t>
      </w:r>
      <w:r>
        <w:rPr>
          <w:rStyle w:val="Fontepargpadro"/>
          <w:rFonts w:ascii="Verdana" w:hAnsi="Verdana"/>
          <w:spacing w:val="1"/>
          <w:w w:val="105"/>
          <w:sz w:val="20"/>
          <w:szCs w:val="20"/>
        </w:rPr>
        <w:t xml:space="preserve"> </w:t>
      </w:r>
      <w:r>
        <w:rPr>
          <w:rStyle w:val="Fontepargpadro"/>
          <w:rFonts w:ascii="Verdana" w:hAnsi="Verdana"/>
          <w:color w:val="181818"/>
          <w:w w:val="105"/>
          <w:sz w:val="20"/>
          <w:szCs w:val="20"/>
        </w:rPr>
        <w:t xml:space="preserve">de </w:t>
      </w:r>
      <w:r>
        <w:rPr>
          <w:rStyle w:val="Fontepargpadro"/>
          <w:rFonts w:ascii="Verdana" w:hAnsi="Verdana"/>
          <w:w w:val="105"/>
          <w:sz w:val="20"/>
          <w:szCs w:val="20"/>
        </w:rPr>
        <w:t xml:space="preserve">registro </w:t>
      </w:r>
      <w:r>
        <w:rPr>
          <w:rStyle w:val="Fontepargpadro"/>
          <w:rFonts w:ascii="Verdana" w:hAnsi="Verdana"/>
          <w:color w:val="0F0F0F"/>
          <w:w w:val="105"/>
          <w:sz w:val="20"/>
          <w:szCs w:val="20"/>
        </w:rPr>
        <w:t xml:space="preserve">no </w:t>
      </w:r>
      <w:r>
        <w:rPr>
          <w:rStyle w:val="Fontepargpadro"/>
          <w:rFonts w:ascii="Verdana" w:hAnsi="Verdana"/>
          <w:w w:val="105"/>
          <w:sz w:val="20"/>
          <w:szCs w:val="20"/>
        </w:rPr>
        <w:t xml:space="preserve">Conselho Regional </w:t>
      </w:r>
      <w:r>
        <w:rPr>
          <w:rStyle w:val="Fontepargpadro"/>
          <w:rFonts w:ascii="Verdana" w:hAnsi="Verdana"/>
          <w:color w:val="131313"/>
          <w:w w:val="105"/>
          <w:sz w:val="20"/>
          <w:szCs w:val="20"/>
        </w:rPr>
        <w:t xml:space="preserve">de </w:t>
      </w:r>
      <w:r>
        <w:rPr>
          <w:rStyle w:val="Fontepargpadro"/>
          <w:rFonts w:ascii="Verdana" w:hAnsi="Verdana"/>
          <w:w w:val="105"/>
          <w:sz w:val="20"/>
          <w:szCs w:val="20"/>
        </w:rPr>
        <w:t>Engenharia</w:t>
      </w:r>
      <w:r>
        <w:rPr>
          <w:rStyle w:val="Fontepargpadro"/>
          <w:rFonts w:ascii="Verdana" w:hAnsi="Verdana"/>
          <w:spacing w:val="1"/>
          <w:w w:val="105"/>
          <w:sz w:val="20"/>
          <w:szCs w:val="20"/>
        </w:rPr>
        <w:t xml:space="preserve"> </w:t>
      </w:r>
      <w:r>
        <w:rPr>
          <w:rStyle w:val="Fontepargpadro"/>
          <w:rFonts w:ascii="Verdana" w:hAnsi="Verdana"/>
          <w:color w:val="131313"/>
          <w:w w:val="105"/>
          <w:sz w:val="20"/>
          <w:szCs w:val="20"/>
        </w:rPr>
        <w:t xml:space="preserve">e </w:t>
      </w:r>
      <w:r>
        <w:rPr>
          <w:rStyle w:val="Fontepargpadro"/>
          <w:rFonts w:ascii="Verdana" w:hAnsi="Verdana"/>
          <w:w w:val="105"/>
          <w:sz w:val="20"/>
          <w:szCs w:val="20"/>
        </w:rPr>
        <w:t xml:space="preserve">Agronomia  </w:t>
      </w:r>
      <w:r>
        <w:rPr>
          <w:rStyle w:val="Fontepargpadro"/>
          <w:rFonts w:ascii="Verdana" w:hAnsi="Verdana"/>
          <w:color w:val="151515"/>
          <w:w w:val="90"/>
          <w:sz w:val="20"/>
          <w:szCs w:val="20"/>
        </w:rPr>
        <w:t>—</w:t>
      </w:r>
      <w:r>
        <w:rPr>
          <w:rStyle w:val="Fontepargpadro"/>
          <w:rFonts w:ascii="Verdana" w:hAnsi="Verdana"/>
          <w:color w:val="151515"/>
          <w:spacing w:val="1"/>
          <w:w w:val="90"/>
          <w:sz w:val="20"/>
          <w:szCs w:val="20"/>
        </w:rPr>
        <w:t xml:space="preserve"> </w:t>
      </w:r>
      <w:r>
        <w:rPr>
          <w:rStyle w:val="Fontepargpadro"/>
          <w:rFonts w:ascii="Verdana" w:hAnsi="Verdana"/>
          <w:color w:val="1A1A1A"/>
          <w:w w:val="105"/>
          <w:sz w:val="20"/>
          <w:szCs w:val="20"/>
        </w:rPr>
        <w:t>CREA</w:t>
      </w:r>
      <w:r>
        <w:rPr>
          <w:rStyle w:val="Fontepargpadro"/>
          <w:rFonts w:ascii="Verdana" w:hAnsi="Verdana"/>
          <w:color w:val="1A1A1A"/>
          <w:spacing w:val="1"/>
          <w:w w:val="105"/>
          <w:sz w:val="20"/>
          <w:szCs w:val="20"/>
        </w:rPr>
        <w:t xml:space="preserve"> </w:t>
      </w:r>
      <w:r>
        <w:rPr>
          <w:rStyle w:val="Fontepargpadro"/>
          <w:rFonts w:ascii="Verdana" w:hAnsi="Verdana"/>
          <w:color w:val="181818"/>
          <w:w w:val="105"/>
          <w:sz w:val="20"/>
          <w:szCs w:val="20"/>
        </w:rPr>
        <w:t>ou</w:t>
      </w:r>
      <w:r>
        <w:rPr>
          <w:rStyle w:val="Fontepargpadro"/>
          <w:rFonts w:ascii="Verdana" w:hAnsi="Verdana"/>
          <w:color w:val="181818"/>
          <w:spacing w:val="1"/>
          <w:w w:val="105"/>
          <w:sz w:val="20"/>
          <w:szCs w:val="20"/>
        </w:rPr>
        <w:t xml:space="preserve"> </w:t>
      </w:r>
      <w:r>
        <w:rPr>
          <w:rStyle w:val="Fontepargpadro"/>
          <w:rFonts w:ascii="Verdana" w:hAnsi="Verdana"/>
          <w:w w:val="105"/>
          <w:sz w:val="20"/>
          <w:szCs w:val="20"/>
        </w:rPr>
        <w:t>C</w:t>
      </w:r>
      <w:r>
        <w:rPr>
          <w:rStyle w:val="Fontepargpadro"/>
          <w:rFonts w:ascii="Verdana" w:hAnsi="Verdana"/>
          <w:color w:val="111111"/>
          <w:w w:val="105"/>
          <w:sz w:val="20"/>
          <w:szCs w:val="20"/>
        </w:rPr>
        <w:t>onselho</w:t>
      </w:r>
      <w:r>
        <w:rPr>
          <w:rStyle w:val="Fontepargpadro"/>
          <w:rFonts w:ascii="Verdana" w:hAnsi="Verdana"/>
          <w:color w:val="111111"/>
          <w:spacing w:val="1"/>
          <w:w w:val="105"/>
          <w:sz w:val="20"/>
          <w:szCs w:val="20"/>
        </w:rPr>
        <w:t xml:space="preserve"> </w:t>
      </w:r>
      <w:r>
        <w:rPr>
          <w:rStyle w:val="Fontepargpadro"/>
          <w:rFonts w:ascii="Verdana" w:hAnsi="Verdana"/>
          <w:color w:val="0E0E0E"/>
          <w:w w:val="105"/>
          <w:sz w:val="20"/>
          <w:szCs w:val="20"/>
        </w:rPr>
        <w:t>de</w:t>
      </w:r>
      <w:r>
        <w:rPr>
          <w:rStyle w:val="Fontepargpadro"/>
          <w:rFonts w:ascii="Verdana" w:hAnsi="Verdana"/>
          <w:color w:val="0E0E0E"/>
          <w:spacing w:val="1"/>
          <w:w w:val="105"/>
          <w:sz w:val="20"/>
          <w:szCs w:val="20"/>
        </w:rPr>
        <w:t xml:space="preserve"> </w:t>
      </w:r>
      <w:r>
        <w:rPr>
          <w:rStyle w:val="Fontepargpadro"/>
          <w:rFonts w:ascii="Verdana" w:hAnsi="Verdana"/>
          <w:w w:val="105"/>
          <w:sz w:val="20"/>
          <w:szCs w:val="20"/>
        </w:rPr>
        <w:t>Arquitetura</w:t>
      </w:r>
      <w:r>
        <w:rPr>
          <w:rStyle w:val="Fontepargpadro"/>
          <w:rFonts w:ascii="Verdana" w:hAnsi="Verdana"/>
          <w:spacing w:val="1"/>
          <w:w w:val="105"/>
          <w:sz w:val="20"/>
          <w:szCs w:val="20"/>
        </w:rPr>
        <w:t xml:space="preserve"> </w:t>
      </w:r>
      <w:r>
        <w:rPr>
          <w:rStyle w:val="Fontepargpadro"/>
          <w:rFonts w:ascii="Verdana" w:hAnsi="Verdana"/>
          <w:color w:val="2D2D2D"/>
          <w:w w:val="105"/>
          <w:sz w:val="20"/>
          <w:szCs w:val="20"/>
        </w:rPr>
        <w:t>e</w:t>
      </w:r>
      <w:r>
        <w:rPr>
          <w:rStyle w:val="Fontepargpadro"/>
          <w:rFonts w:ascii="Verdana" w:hAnsi="Verdana"/>
          <w:color w:val="2D2D2D"/>
          <w:spacing w:val="1"/>
          <w:w w:val="105"/>
          <w:sz w:val="20"/>
          <w:szCs w:val="20"/>
        </w:rPr>
        <w:t xml:space="preserve"> </w:t>
      </w:r>
      <w:r>
        <w:rPr>
          <w:rStyle w:val="Fontepargpadro"/>
          <w:rFonts w:ascii="Verdana" w:hAnsi="Verdana"/>
          <w:color w:val="0C0C0C"/>
          <w:w w:val="105"/>
          <w:sz w:val="20"/>
          <w:szCs w:val="20"/>
        </w:rPr>
        <w:t xml:space="preserve">Urbanismo </w:t>
      </w:r>
      <w:r>
        <w:rPr>
          <w:rStyle w:val="Fontepargpadro"/>
          <w:rFonts w:ascii="Verdana" w:hAnsi="Verdana"/>
          <w:color w:val="0C0C0C"/>
          <w:spacing w:val="1"/>
          <w:w w:val="105"/>
          <w:sz w:val="20"/>
          <w:szCs w:val="20"/>
        </w:rPr>
        <w:t xml:space="preserve"> </w:t>
      </w:r>
      <w:r>
        <w:rPr>
          <w:rStyle w:val="Fontepargpadro"/>
          <w:rFonts w:ascii="Verdana" w:hAnsi="Verdana"/>
          <w:color w:val="161616"/>
          <w:w w:val="90"/>
          <w:sz w:val="20"/>
          <w:szCs w:val="20"/>
        </w:rPr>
        <w:t>—</w:t>
      </w:r>
      <w:r>
        <w:rPr>
          <w:rStyle w:val="Fontepargpadro"/>
          <w:rFonts w:ascii="Verdana" w:hAnsi="Verdana"/>
          <w:color w:val="161616"/>
          <w:spacing w:val="1"/>
          <w:w w:val="90"/>
          <w:sz w:val="20"/>
          <w:szCs w:val="20"/>
        </w:rPr>
        <w:t xml:space="preserve"> </w:t>
      </w:r>
      <w:r>
        <w:rPr>
          <w:rStyle w:val="Fontepargpadro"/>
          <w:rFonts w:ascii="Verdana" w:hAnsi="Verdana"/>
          <w:color w:val="161616"/>
          <w:w w:val="105"/>
          <w:sz w:val="20"/>
          <w:szCs w:val="20"/>
        </w:rPr>
        <w:t>CAU,</w:t>
      </w:r>
      <w:r>
        <w:rPr>
          <w:rStyle w:val="Fontepargpadro"/>
          <w:rFonts w:ascii="Verdana" w:hAnsi="Verdana"/>
          <w:color w:val="161616"/>
          <w:spacing w:val="1"/>
          <w:w w:val="105"/>
          <w:sz w:val="20"/>
          <w:szCs w:val="20"/>
        </w:rPr>
        <w:t xml:space="preserve"> </w:t>
      </w:r>
      <w:r>
        <w:rPr>
          <w:rStyle w:val="Fontepargpadro"/>
          <w:rFonts w:ascii="Verdana" w:hAnsi="Verdana"/>
          <w:w w:val="105"/>
          <w:sz w:val="20"/>
          <w:szCs w:val="20"/>
        </w:rPr>
        <w:t>da</w:t>
      </w:r>
      <w:r>
        <w:rPr>
          <w:rStyle w:val="Fontepargpadro"/>
          <w:rFonts w:ascii="Verdana" w:hAnsi="Verdana"/>
          <w:spacing w:val="1"/>
          <w:w w:val="105"/>
          <w:sz w:val="20"/>
          <w:szCs w:val="20"/>
        </w:rPr>
        <w:t xml:space="preserve"> </w:t>
      </w:r>
      <w:r>
        <w:rPr>
          <w:rStyle w:val="Fontepargpadro"/>
          <w:rFonts w:ascii="Verdana" w:hAnsi="Verdana"/>
          <w:w w:val="105"/>
          <w:sz w:val="20"/>
          <w:szCs w:val="20"/>
        </w:rPr>
        <w:t xml:space="preserve">licitante </w:t>
      </w:r>
      <w:r>
        <w:rPr>
          <w:rStyle w:val="Fontepargpadro"/>
          <w:rFonts w:ascii="Verdana" w:hAnsi="Verdana"/>
          <w:color w:val="242424"/>
          <w:w w:val="105"/>
          <w:sz w:val="20"/>
          <w:szCs w:val="20"/>
        </w:rPr>
        <w:t xml:space="preserve">e  </w:t>
      </w:r>
      <w:r>
        <w:rPr>
          <w:rStyle w:val="Fontepargpadro"/>
          <w:rFonts w:ascii="Verdana" w:hAnsi="Verdana"/>
          <w:color w:val="1A1A1A"/>
          <w:w w:val="105"/>
          <w:sz w:val="20"/>
          <w:szCs w:val="20"/>
        </w:rPr>
        <w:t>de</w:t>
      </w:r>
      <w:r>
        <w:rPr>
          <w:rStyle w:val="Fontepargpadro"/>
          <w:rFonts w:ascii="Verdana" w:hAnsi="Verdana"/>
          <w:color w:val="1A1A1A"/>
          <w:spacing w:val="1"/>
          <w:w w:val="105"/>
          <w:sz w:val="20"/>
          <w:szCs w:val="20"/>
        </w:rPr>
        <w:t xml:space="preserve"> </w:t>
      </w:r>
      <w:r>
        <w:rPr>
          <w:rStyle w:val="Fontepargpadro"/>
          <w:rFonts w:ascii="Verdana" w:hAnsi="Verdana"/>
          <w:color w:val="131313"/>
          <w:w w:val="105"/>
          <w:sz w:val="20"/>
          <w:szCs w:val="20"/>
        </w:rPr>
        <w:t>seus</w:t>
      </w:r>
      <w:r>
        <w:rPr>
          <w:rStyle w:val="Fontepargpadro"/>
          <w:rFonts w:ascii="Verdana" w:hAnsi="Verdana"/>
          <w:color w:val="131313"/>
          <w:spacing w:val="1"/>
          <w:w w:val="105"/>
          <w:sz w:val="20"/>
          <w:szCs w:val="20"/>
        </w:rPr>
        <w:t xml:space="preserve"> </w:t>
      </w:r>
      <w:r>
        <w:rPr>
          <w:rStyle w:val="Fontepargpadro"/>
          <w:rFonts w:ascii="Verdana" w:hAnsi="Verdana"/>
          <w:sz w:val="20"/>
          <w:szCs w:val="20"/>
        </w:rPr>
        <w:t>responsáveis</w:t>
      </w:r>
      <w:r>
        <w:rPr>
          <w:rStyle w:val="Fontepargpadro"/>
          <w:rFonts w:ascii="Verdana" w:hAnsi="Verdana"/>
          <w:spacing w:val="13"/>
          <w:sz w:val="20"/>
          <w:szCs w:val="20"/>
        </w:rPr>
        <w:t xml:space="preserve"> </w:t>
      </w:r>
      <w:r>
        <w:rPr>
          <w:rStyle w:val="Fontepargpadro"/>
          <w:rFonts w:ascii="Verdana" w:hAnsi="Verdana"/>
          <w:color w:val="0C0C0C"/>
          <w:sz w:val="20"/>
          <w:szCs w:val="20"/>
        </w:rPr>
        <w:t>técnicos</w:t>
      </w:r>
      <w:r>
        <w:rPr>
          <w:rStyle w:val="Fontepargpadro"/>
          <w:rFonts w:ascii="Verdana" w:hAnsi="Verdana"/>
          <w:color w:val="0C0C0C"/>
          <w:spacing w:val="13"/>
          <w:sz w:val="20"/>
          <w:szCs w:val="20"/>
        </w:rPr>
        <w:t xml:space="preserve"> </w:t>
      </w:r>
      <w:r>
        <w:rPr>
          <w:rStyle w:val="Fontepargpadro"/>
          <w:rFonts w:ascii="Verdana" w:hAnsi="Verdana"/>
          <w:color w:val="333333"/>
          <w:w w:val="90"/>
          <w:sz w:val="20"/>
          <w:szCs w:val="20"/>
        </w:rPr>
        <w:t>—</w:t>
      </w:r>
      <w:r>
        <w:rPr>
          <w:rStyle w:val="Fontepargpadro"/>
          <w:rFonts w:ascii="Verdana" w:hAnsi="Verdana"/>
          <w:color w:val="333333"/>
          <w:spacing w:val="3"/>
          <w:w w:val="90"/>
          <w:sz w:val="20"/>
          <w:szCs w:val="20"/>
        </w:rPr>
        <w:t xml:space="preserve"> </w:t>
      </w:r>
      <w:r>
        <w:rPr>
          <w:rStyle w:val="Fontepargpadro"/>
          <w:rFonts w:ascii="Verdana" w:hAnsi="Verdana"/>
          <w:color w:val="131313"/>
          <w:sz w:val="20"/>
          <w:szCs w:val="20"/>
        </w:rPr>
        <w:t>Engenheiro</w:t>
      </w:r>
      <w:r>
        <w:rPr>
          <w:rStyle w:val="Fontepargpadro"/>
          <w:rFonts w:ascii="Verdana" w:hAnsi="Verdana"/>
          <w:color w:val="131313"/>
          <w:spacing w:val="20"/>
          <w:sz w:val="20"/>
          <w:szCs w:val="20"/>
        </w:rPr>
        <w:t xml:space="preserve"> </w:t>
      </w:r>
      <w:r>
        <w:rPr>
          <w:rStyle w:val="Fontepargpadro"/>
          <w:rFonts w:ascii="Verdana" w:hAnsi="Verdana"/>
          <w:sz w:val="20"/>
          <w:szCs w:val="20"/>
        </w:rPr>
        <w:t>Civil</w:t>
      </w:r>
      <w:r>
        <w:rPr>
          <w:rStyle w:val="Fontepargpadro"/>
          <w:rFonts w:ascii="Verdana" w:hAnsi="Verdana"/>
          <w:spacing w:val="6"/>
          <w:sz w:val="20"/>
          <w:szCs w:val="20"/>
        </w:rPr>
        <w:t xml:space="preserve"> </w:t>
      </w:r>
      <w:r>
        <w:rPr>
          <w:rStyle w:val="Fontepargpadro"/>
          <w:rFonts w:ascii="Verdana" w:hAnsi="Verdana"/>
          <w:color w:val="111111"/>
          <w:sz w:val="20"/>
          <w:szCs w:val="20"/>
        </w:rPr>
        <w:t>ou</w:t>
      </w:r>
      <w:r>
        <w:rPr>
          <w:rStyle w:val="Fontepargpadro"/>
          <w:rFonts w:ascii="Verdana" w:hAnsi="Verdana"/>
          <w:color w:val="111111"/>
          <w:spacing w:val="-11"/>
          <w:sz w:val="20"/>
          <w:szCs w:val="20"/>
        </w:rPr>
        <w:t xml:space="preserve"> </w:t>
      </w:r>
      <w:r>
        <w:rPr>
          <w:rStyle w:val="Fontepargpadro"/>
          <w:rFonts w:ascii="Verdana" w:hAnsi="Verdana"/>
          <w:sz w:val="20"/>
          <w:szCs w:val="20"/>
        </w:rPr>
        <w:t>Arquiteto e Urbanista, Eletricista, Segurança do Trabalho, Mecânico.</w:t>
      </w:r>
    </w:p>
    <w:p>
      <w:pPr>
        <w:pStyle w:val="PargrafodaLista"/>
        <w:tabs>
          <w:tab w:val="clear" w:pos="708"/>
          <w:tab w:val="left" w:pos="1052" w:leader="none"/>
        </w:tabs>
        <w:spacing w:lineRule="auto" w:line="240" w:before="0" w:after="0"/>
        <w:ind w:hanging="0" w:left="0" w:right="243"/>
        <w:contextualSpacing/>
        <w:jc w:val="both"/>
        <w:rPr/>
      </w:pPr>
      <w:r>
        <w:rPr>
          <w:rStyle w:val="Fontepargpadro"/>
          <w:rFonts w:ascii="Verdana" w:hAnsi="Verdana"/>
          <w:b/>
          <w:bCs/>
          <w:sz w:val="20"/>
          <w:szCs w:val="20"/>
        </w:rPr>
        <w:t>4.11.1. CAPACIDADE TÉCNICO-PROFISSIONAL</w:t>
      </w:r>
    </w:p>
    <w:p>
      <w:pPr>
        <w:pStyle w:val="LO-Normal2"/>
        <w:spacing w:lineRule="auto" w:line="240"/>
        <w:jc w:val="both"/>
        <w:rPr>
          <w:rFonts w:ascii="Verdana" w:hAnsi="Verdana"/>
          <w:sz w:val="20"/>
          <w:szCs w:val="20"/>
        </w:rPr>
      </w:pPr>
      <w:r>
        <w:rPr>
          <w:rFonts w:ascii="Verdana" w:hAnsi="Verdana"/>
          <w:sz w:val="20"/>
          <w:szCs w:val="20"/>
        </w:rPr>
        <w:t>a) A empresa licitante deverá apresentar para fins de comprovação de vínculo empregatício Declaração de Indicação dos Profissionais: ENGENHEIRO ou ARQUITETO URBANISTA com vínculo que atuará como responsável Técnico para o acompanhamento dos serviços objeto desta licitação.</w:t>
      </w:r>
    </w:p>
    <w:p>
      <w:pPr>
        <w:pStyle w:val="LO-Normal2"/>
        <w:spacing w:lineRule="auto" w:line="240"/>
        <w:jc w:val="both"/>
        <w:rPr>
          <w:rFonts w:ascii="Verdana" w:hAnsi="Verdana"/>
          <w:sz w:val="20"/>
          <w:szCs w:val="20"/>
        </w:rPr>
      </w:pPr>
      <w:r>
        <w:rPr>
          <w:rFonts w:ascii="Verdana" w:hAnsi="Verdana"/>
          <w:sz w:val="20"/>
          <w:szCs w:val="20"/>
        </w:rPr>
        <w:t>b) Declaração de aceitação dos profissionais: ENGENHEIRO ou ARQUITETO URBANISTA com vínculo que atuará como responsável Técnico para o acompanhamento dos serviços objeto desta licitação.</w:t>
      </w:r>
    </w:p>
    <w:p>
      <w:pPr>
        <w:pStyle w:val="LO-Normal2"/>
        <w:spacing w:lineRule="auto" w:line="240"/>
        <w:jc w:val="both"/>
        <w:rPr/>
      </w:pPr>
      <w:r>
        <w:rPr>
          <w:rStyle w:val="Fontepargpadro"/>
          <w:rFonts w:ascii="Verdana" w:hAnsi="Verdana"/>
          <w:b/>
          <w:bCs/>
          <w:sz w:val="20"/>
          <w:szCs w:val="20"/>
        </w:rPr>
        <w:t>c) Atestados de desempenho anterior, emitido por pessoas jurídicas de direito público ou privado, devidamente registrado no CREA/CAU, acompanhado das respectivas Certidões de Acervo Técnico (CAT), visando certificar a capacidade técnica do profissional da empresa proponente, emitido por pessoa jurídica de direito público ou privado, visando comprovar os seguintes serviços prestados:</w:t>
      </w:r>
    </w:p>
    <w:p>
      <w:pPr>
        <w:pStyle w:val="PargrafodaLista"/>
        <w:tabs>
          <w:tab w:val="clear" w:pos="708"/>
          <w:tab w:val="left" w:pos="1052" w:leader="none"/>
        </w:tabs>
        <w:spacing w:lineRule="auto" w:line="240"/>
        <w:ind w:hanging="0" w:left="0" w:right="243"/>
        <w:jc w:val="both"/>
        <w:rPr/>
      </w:pPr>
      <w:r>
        <w:rPr>
          <w:rStyle w:val="Fontepargpadro"/>
          <w:rFonts w:ascii="Verdana" w:hAnsi="Verdana"/>
          <w:sz w:val="20"/>
          <w:szCs w:val="20"/>
        </w:rPr>
        <w:t xml:space="preserve">- </w:t>
      </w:r>
      <w:r>
        <w:rPr>
          <w:rStyle w:val="Fontepargpadro"/>
          <w:rFonts w:ascii="Verdana" w:hAnsi="Verdana"/>
          <w:b/>
          <w:bCs/>
          <w:sz w:val="20"/>
          <w:szCs w:val="20"/>
        </w:rPr>
        <w:t>ENGENHEIRO CIVIL/ARQUITETO:</w:t>
      </w:r>
    </w:p>
    <w:p>
      <w:pPr>
        <w:pStyle w:val="PargrafodaLista"/>
        <w:tabs>
          <w:tab w:val="clear" w:pos="708"/>
          <w:tab w:val="left" w:pos="1052" w:leader="none"/>
        </w:tabs>
        <w:spacing w:lineRule="auto" w:line="240"/>
        <w:ind w:hanging="0" w:left="0" w:right="243"/>
        <w:jc w:val="both"/>
        <w:rPr/>
      </w:pPr>
      <w:r>
        <w:rPr>
          <w:rStyle w:val="Fontepargpadro"/>
          <w:rFonts w:ascii="Verdana" w:hAnsi="Verdana"/>
          <w:b w:val="false"/>
          <w:i w:val="false"/>
          <w:strike w:val="false"/>
          <w:dstrike w:val="false"/>
          <w:outline w:val="false"/>
          <w:shadow w:val="false"/>
          <w:sz w:val="20"/>
          <w:szCs w:val="20"/>
          <w:u w:val="none"/>
          <w:em w:val="none"/>
        </w:rPr>
        <w:t>a) Piso cer</w:t>
      </w:r>
      <w:r>
        <w:rPr>
          <w:rFonts w:ascii="Verdana" w:hAnsi="Verdana"/>
          <w:b w:val="false"/>
          <w:i w:val="false"/>
          <w:strike w:val="false"/>
          <w:dstrike w:val="false"/>
          <w:outline w:val="false"/>
          <w:shadow w:val="false"/>
          <w:sz w:val="20"/>
          <w:szCs w:val="20"/>
          <w:u w:val="none"/>
          <w:em w:val="none"/>
        </w:rPr>
        <w:t>âmico esmaltado, PEI 5, acabamento semibrilho, dim. 45x45cm, ref. de cor CARGO PLUS WHITE Eliane/equiv. assentado com argamassa de cimento colante, inclusive rejuntamento</w:t>
      </w:r>
    </w:p>
    <w:p>
      <w:pPr>
        <w:pStyle w:val="PargrafodaLista"/>
        <w:tabs>
          <w:tab w:val="clear" w:pos="708"/>
          <w:tab w:val="left" w:pos="1052" w:leader="none"/>
        </w:tabs>
        <w:spacing w:lineRule="auto" w:line="240"/>
        <w:ind w:hanging="0" w:left="0" w:right="243"/>
        <w:jc w:val="both"/>
        <w:rPr/>
      </w:pPr>
      <w:r>
        <w:rPr>
          <w:rStyle w:val="Fontepargpadro"/>
          <w:rFonts w:eastAsia="Arial" w:cs="DejaVu Sans" w:ascii="Verdana" w:hAnsi="Verdana" w:cstheme="minorBidi" w:eastAsiaTheme="minorHAnsi"/>
          <w:b w:val="false"/>
          <w:bCs/>
          <w:i w:val="false"/>
          <w:strike w:val="false"/>
          <w:dstrike w:val="false"/>
          <w:outline w:val="false"/>
          <w:shadow w:val="false"/>
          <w:color w:val="auto"/>
          <w:kern w:val="0"/>
          <w:sz w:val="20"/>
          <w:szCs w:val="20"/>
          <w:u w:val="none"/>
          <w:em w:val="none"/>
          <w:lang w:val="pt-BR" w:eastAsia="zh-CN" w:bidi="hi-IN"/>
        </w:rPr>
        <w:t>b) IMPERMEABILIZAÇÃO TELHA FIBROCIMENTO COM PINTURA EM SILICONE</w:t>
      </w:r>
    </w:p>
    <w:p>
      <w:pPr>
        <w:pStyle w:val="PargrafodaLista"/>
        <w:tabs>
          <w:tab w:val="clear" w:pos="708"/>
          <w:tab w:val="left" w:pos="1052" w:leader="none"/>
        </w:tabs>
        <w:spacing w:lineRule="auto" w:line="240" w:before="0" w:after="29"/>
        <w:ind w:hanging="0" w:left="0" w:right="243"/>
        <w:contextualSpacing/>
        <w:jc w:val="both"/>
        <w:rPr/>
      </w:pPr>
      <w:r>
        <w:rPr>
          <w:rStyle w:val="Fontepargpadro"/>
          <w:rFonts w:eastAsia="Arial" w:cs="DejaVu Sans" w:ascii="Verdana" w:hAnsi="Verdana" w:cstheme="minorBidi" w:eastAsiaTheme="minorHAnsi"/>
          <w:b/>
          <w:bCs/>
          <w:i w:val="false"/>
          <w:strike w:val="false"/>
          <w:dstrike w:val="false"/>
          <w:outline w:val="false"/>
          <w:shadow w:val="false"/>
          <w:color w:val="auto"/>
          <w:kern w:val="0"/>
          <w:sz w:val="20"/>
          <w:szCs w:val="20"/>
          <w:u w:val="none"/>
          <w:em w:val="none"/>
          <w:lang w:val="pt-BR" w:eastAsia="zh-CN" w:bidi="hi-IN"/>
        </w:rPr>
        <w:t>4.11.2. CAPACIDADE TÉCNICO-OPERACIONAL</w:t>
      </w:r>
    </w:p>
    <w:p>
      <w:pPr>
        <w:pStyle w:val="Normal"/>
        <w:suppressAutoHyphens w:val="false"/>
        <w:spacing w:lineRule="auto" w:line="240"/>
        <w:jc w:val="both"/>
        <w:rPr/>
      </w:pPr>
      <w:r>
        <w:rPr>
          <w:rStyle w:val="Fontepargpadro"/>
          <w:rFonts w:eastAsia="Arial" w:cs="CIDFont+F4" w:ascii="Verdana" w:hAnsi="Verdana" w:eastAsiaTheme="minorHAnsi"/>
          <w:b w:val="false"/>
          <w:bCs w:val="false"/>
          <w:i w:val="false"/>
          <w:strike w:val="false"/>
          <w:dstrike w:val="false"/>
          <w:outline w:val="false"/>
          <w:shadow w:val="false"/>
          <w:color w:val="auto"/>
          <w:kern w:val="0"/>
          <w:sz w:val="20"/>
          <w:szCs w:val="20"/>
          <w:u w:val="none"/>
          <w:em w:val="none"/>
          <w:lang w:val="pt-BR" w:eastAsia="en-US" w:bidi="hi-IN"/>
        </w:rPr>
        <w:t>Comprovação de aptidão para execução de serviço de complexidade tecnológica e operacional equivalente ou superior ao objeto desta contratação, ou ao item pertinente, por meio da apresentação Certidões de Acervo Operacional (CAO) ou atestados, em nome da licitante, expedidos por pessoa (s) de direito público ou privado, devidamente registrados pelo conselho profissional competente, dos serviços a seguir discriminados:</w:t>
      </w:r>
    </w:p>
    <w:p>
      <w:pPr>
        <w:pStyle w:val="PargrafodaLista"/>
        <w:tabs>
          <w:tab w:val="clear" w:pos="708"/>
          <w:tab w:val="left" w:pos="1052" w:leader="none"/>
        </w:tabs>
        <w:spacing w:lineRule="auto" w:line="240" w:before="0" w:after="0"/>
        <w:ind w:hanging="0" w:left="0" w:right="243"/>
        <w:contextualSpacing/>
        <w:jc w:val="both"/>
        <w:rPr/>
      </w:pPr>
      <w:r>
        <w:rPr>
          <w:rStyle w:val="Fontepargpadro"/>
          <w:rFonts w:ascii="Verdana" w:hAnsi="Verdana"/>
          <w:b w:val="false"/>
          <w:i w:val="false"/>
          <w:strike w:val="false"/>
          <w:dstrike w:val="false"/>
          <w:outline w:val="false"/>
          <w:shadow w:val="false"/>
          <w:sz w:val="20"/>
          <w:szCs w:val="20"/>
          <w:u w:val="none"/>
          <w:em w:val="none"/>
        </w:rPr>
        <w:t>a) Piso cer</w:t>
      </w:r>
      <w:r>
        <w:rPr>
          <w:rFonts w:ascii="Verdana" w:hAnsi="Verdana"/>
          <w:b w:val="false"/>
          <w:i w:val="false"/>
          <w:strike w:val="false"/>
          <w:dstrike w:val="false"/>
          <w:outline w:val="false"/>
          <w:shadow w:val="false"/>
          <w:sz w:val="20"/>
          <w:szCs w:val="20"/>
          <w:u w:val="none"/>
          <w:em w:val="none"/>
        </w:rPr>
        <w:t>âmico esmaltado, PEI 5, acabamento semibrilho, dim. 45x45cm, ref. de cor CARGO PLUS WHITE Eliane/equiv. assentado com argamassa de cimento colante, inclusive rejuntamento &gt;/=17,28 M2</w:t>
      </w:r>
    </w:p>
    <w:p>
      <w:pPr>
        <w:pStyle w:val="Heading2"/>
        <w:spacing w:lineRule="auto" w:line="240" w:before="69" w:after="69"/>
        <w:rPr/>
      </w:pPr>
      <w:r>
        <w:rPr>
          <w:rStyle w:val="Fontepargpadro"/>
          <w:rFonts w:eastAsia="Arial" w:cs="DejaVu Sans" w:ascii="Verdana" w:hAnsi="Verdana" w:cstheme="minorBidi" w:eastAsiaTheme="minorHAnsi"/>
          <w:b w:val="false"/>
          <w:bCs/>
          <w:i w:val="false"/>
          <w:strike w:val="false"/>
          <w:dstrike w:val="false"/>
          <w:outline w:val="false"/>
          <w:shadow w:val="false"/>
          <w:color w:val="auto"/>
          <w:kern w:val="0"/>
          <w:sz w:val="20"/>
          <w:szCs w:val="20"/>
          <w:u w:val="none"/>
          <w:em w:val="none"/>
          <w:lang w:val="pt-BR" w:eastAsia="zh-CN" w:bidi="hi-IN"/>
        </w:rPr>
        <w:t>b) IMPERMEABILIZAÇÃO TELHA FIBROCIMENTO COM PINTURA EM SILICONE &gt;/=38,47 M2</w:t>
      </w:r>
    </w:p>
    <w:p>
      <w:pPr>
        <w:pStyle w:val="PargrafodaLista"/>
        <w:tabs>
          <w:tab w:val="clear" w:pos="708"/>
          <w:tab w:val="left" w:pos="1052" w:leader="none"/>
        </w:tabs>
        <w:spacing w:lineRule="auto" w:line="240" w:before="0" w:after="0"/>
        <w:ind w:hanging="0" w:left="0" w:right="243"/>
        <w:contextualSpacing/>
        <w:jc w:val="both"/>
        <w:rPr/>
      </w:pPr>
      <w:r>
        <w:rPr>
          <w:rStyle w:val="Fontepargpadro"/>
          <w:rFonts w:ascii="Verdana" w:hAnsi="Verdana"/>
          <w:b/>
          <w:bCs/>
          <w:color w:val="000000"/>
          <w:sz w:val="20"/>
          <w:szCs w:val="20"/>
        </w:rPr>
        <w:t>4.11.3. DA</w:t>
      </w:r>
      <w:r>
        <w:rPr>
          <w:rStyle w:val="Fontepargpadro"/>
          <w:rFonts w:ascii="Verdana" w:hAnsi="Verdana"/>
          <w:b/>
          <w:bCs/>
          <w:color w:val="000000"/>
          <w:spacing w:val="-3"/>
          <w:sz w:val="20"/>
          <w:szCs w:val="20"/>
        </w:rPr>
        <w:t xml:space="preserve"> </w:t>
      </w:r>
      <w:r>
        <w:rPr>
          <w:rStyle w:val="Fontepargpadro"/>
          <w:rFonts w:ascii="Verdana" w:hAnsi="Verdana"/>
          <w:b/>
          <w:bCs/>
          <w:color w:val="000000"/>
          <w:sz w:val="20"/>
          <w:szCs w:val="20"/>
        </w:rPr>
        <w:t>VISITA</w:t>
      </w:r>
      <w:r>
        <w:rPr>
          <w:rStyle w:val="Fontepargpadro"/>
          <w:rFonts w:ascii="Verdana" w:hAnsi="Verdana"/>
          <w:b/>
          <w:bCs/>
          <w:color w:val="000000"/>
          <w:spacing w:val="-3"/>
          <w:sz w:val="20"/>
          <w:szCs w:val="20"/>
        </w:rPr>
        <w:t xml:space="preserve"> </w:t>
      </w:r>
      <w:r>
        <w:rPr>
          <w:rStyle w:val="Fontepargpadro"/>
          <w:rFonts w:ascii="Verdana" w:hAnsi="Verdana"/>
          <w:b/>
          <w:bCs/>
          <w:color w:val="000000"/>
          <w:spacing w:val="-2"/>
          <w:sz w:val="20"/>
          <w:szCs w:val="20"/>
        </w:rPr>
        <w:t>TÉCNICA</w:t>
      </w:r>
    </w:p>
    <w:p>
      <w:pPr>
        <w:pStyle w:val="Heading2"/>
        <w:numPr>
          <w:ilvl w:val="0"/>
          <w:numId w:val="0"/>
        </w:numPr>
        <w:tabs>
          <w:tab w:val="clear" w:pos="708"/>
          <w:tab w:val="left" w:pos="128" w:leader="none"/>
        </w:tabs>
        <w:spacing w:lineRule="auto" w:line="240" w:before="0" w:after="0"/>
        <w:ind w:hanging="0" w:left="0"/>
        <w:jc w:val="both"/>
        <w:rPr/>
      </w:pPr>
      <w:r>
        <w:rPr>
          <w:rStyle w:val="Fontepargpadro"/>
          <w:rFonts w:eastAsia="Times New Roman" w:cs="Arial" w:ascii="Verdana" w:hAnsi="Verdana"/>
          <w:b w:val="false"/>
          <w:bCs w:val="false"/>
          <w:color w:val="000000"/>
          <w:sz w:val="20"/>
          <w:szCs w:val="20"/>
        </w:rPr>
        <w:t>Considerando</w:t>
      </w:r>
      <w:r>
        <w:rPr>
          <w:rStyle w:val="Fontepargpadro"/>
          <w:rFonts w:eastAsia="Times New Roman" w:cs="Arial" w:ascii="Verdana" w:hAnsi="Verdana"/>
          <w:b w:val="false"/>
          <w:bCs w:val="false"/>
          <w:color w:val="000000"/>
          <w:spacing w:val="-3"/>
          <w:sz w:val="20"/>
          <w:szCs w:val="20"/>
        </w:rPr>
        <w:t xml:space="preserve"> </w:t>
      </w:r>
      <w:r>
        <w:rPr>
          <w:rStyle w:val="Fontepargpadro"/>
          <w:rFonts w:eastAsia="Times New Roman" w:cs="Arial" w:ascii="Verdana" w:hAnsi="Verdana"/>
          <w:b w:val="false"/>
          <w:bCs w:val="false"/>
          <w:color w:val="000000"/>
          <w:sz w:val="20"/>
          <w:szCs w:val="20"/>
        </w:rPr>
        <w:t>que</w:t>
      </w:r>
      <w:r>
        <w:rPr>
          <w:rStyle w:val="Fontepargpadro"/>
          <w:rFonts w:eastAsia="Times New Roman" w:cs="Arial" w:ascii="Verdana" w:hAnsi="Verdana"/>
          <w:b w:val="false"/>
          <w:bCs w:val="false"/>
          <w:color w:val="000000"/>
          <w:spacing w:val="-2"/>
          <w:sz w:val="20"/>
          <w:szCs w:val="20"/>
        </w:rPr>
        <w:t xml:space="preserve"> </w:t>
      </w:r>
      <w:r>
        <w:rPr>
          <w:rStyle w:val="Fontepargpadro"/>
          <w:rFonts w:eastAsia="Times New Roman" w:cs="Arial" w:ascii="Verdana" w:hAnsi="Verdana"/>
          <w:b w:val="false"/>
          <w:bCs w:val="false"/>
          <w:color w:val="000000"/>
          <w:sz w:val="20"/>
          <w:szCs w:val="20"/>
        </w:rPr>
        <w:t>na</w:t>
      </w:r>
      <w:r>
        <w:rPr>
          <w:rStyle w:val="Fontepargpadro"/>
          <w:rFonts w:eastAsia="Times New Roman" w:cs="Arial" w:ascii="Verdana" w:hAnsi="Verdana"/>
          <w:b w:val="false"/>
          <w:bCs w:val="false"/>
          <w:color w:val="000000"/>
          <w:spacing w:val="-4"/>
          <w:sz w:val="20"/>
          <w:szCs w:val="20"/>
        </w:rPr>
        <w:t xml:space="preserve"> </w:t>
      </w:r>
      <w:r>
        <w:rPr>
          <w:rStyle w:val="Fontepargpadro"/>
          <w:rFonts w:eastAsia="Times New Roman" w:cs="Arial" w:ascii="Verdana" w:hAnsi="Verdana"/>
          <w:b w:val="false"/>
          <w:bCs w:val="false"/>
          <w:color w:val="000000"/>
          <w:sz w:val="20"/>
          <w:szCs w:val="20"/>
        </w:rPr>
        <w:t>presente</w:t>
      </w:r>
      <w:r>
        <w:rPr>
          <w:rStyle w:val="Fontepargpadro"/>
          <w:rFonts w:eastAsia="Times New Roman" w:cs="Arial" w:ascii="Verdana" w:hAnsi="Verdana"/>
          <w:b w:val="false"/>
          <w:bCs w:val="false"/>
          <w:color w:val="000000"/>
          <w:spacing w:val="-4"/>
          <w:sz w:val="20"/>
          <w:szCs w:val="20"/>
        </w:rPr>
        <w:t xml:space="preserve"> </w:t>
      </w:r>
      <w:r>
        <w:rPr>
          <w:rStyle w:val="Fontepargpadro"/>
          <w:rFonts w:eastAsia="Times New Roman" w:cs="Arial" w:ascii="Verdana" w:hAnsi="Verdana"/>
          <w:b w:val="false"/>
          <w:bCs w:val="false"/>
          <w:color w:val="000000"/>
          <w:sz w:val="20"/>
          <w:szCs w:val="20"/>
        </w:rPr>
        <w:t>contratação</w:t>
      </w:r>
      <w:r>
        <w:rPr>
          <w:rStyle w:val="Fontepargpadro"/>
          <w:rFonts w:eastAsia="Times New Roman" w:cs="Arial" w:ascii="Verdana" w:hAnsi="Verdana"/>
          <w:b w:val="false"/>
          <w:bCs w:val="false"/>
          <w:color w:val="000000"/>
          <w:spacing w:val="-3"/>
          <w:sz w:val="20"/>
          <w:szCs w:val="20"/>
        </w:rPr>
        <w:t xml:space="preserve"> </w:t>
      </w:r>
      <w:r>
        <w:rPr>
          <w:rStyle w:val="Fontepargpadro"/>
          <w:rFonts w:eastAsia="Times New Roman" w:cs="Arial" w:ascii="Verdana" w:hAnsi="Verdana"/>
          <w:b w:val="false"/>
          <w:bCs w:val="false"/>
          <w:color w:val="000000"/>
          <w:sz w:val="20"/>
          <w:szCs w:val="20"/>
        </w:rPr>
        <w:t>a</w:t>
      </w:r>
      <w:r>
        <w:rPr>
          <w:rStyle w:val="Fontepargpadro"/>
          <w:rFonts w:eastAsia="Times New Roman" w:cs="Arial" w:ascii="Verdana" w:hAnsi="Verdana"/>
          <w:b w:val="false"/>
          <w:bCs w:val="false"/>
          <w:color w:val="000000"/>
          <w:spacing w:val="-2"/>
          <w:sz w:val="20"/>
          <w:szCs w:val="20"/>
        </w:rPr>
        <w:t xml:space="preserve"> </w:t>
      </w:r>
      <w:r>
        <w:rPr>
          <w:rStyle w:val="Fontepargpadro"/>
          <w:rFonts w:eastAsia="Times New Roman" w:cs="Arial" w:ascii="Verdana" w:hAnsi="Verdana"/>
          <w:b w:val="false"/>
          <w:bCs w:val="false"/>
          <w:color w:val="000000"/>
          <w:sz w:val="20"/>
          <w:szCs w:val="20"/>
        </w:rPr>
        <w:t>avaliação</w:t>
      </w:r>
      <w:r>
        <w:rPr>
          <w:rStyle w:val="Fontepargpadro"/>
          <w:rFonts w:eastAsia="Times New Roman" w:cs="Arial" w:ascii="Verdana" w:hAnsi="Verdana"/>
          <w:b w:val="false"/>
          <w:bCs w:val="false"/>
          <w:color w:val="000000"/>
          <w:spacing w:val="-3"/>
          <w:sz w:val="20"/>
          <w:szCs w:val="20"/>
        </w:rPr>
        <w:t xml:space="preserve"> </w:t>
      </w:r>
      <w:r>
        <w:rPr>
          <w:rStyle w:val="Fontepargpadro"/>
          <w:rFonts w:eastAsia="Times New Roman" w:cs="Arial" w:ascii="Verdana" w:hAnsi="Verdana"/>
          <w:b w:val="false"/>
          <w:bCs w:val="false"/>
          <w:color w:val="000000"/>
          <w:sz w:val="20"/>
          <w:szCs w:val="20"/>
        </w:rPr>
        <w:t>prévia</w:t>
      </w:r>
      <w:r>
        <w:rPr>
          <w:rStyle w:val="Fontepargpadro"/>
          <w:rFonts w:eastAsia="Times New Roman" w:cs="Arial" w:ascii="Verdana" w:hAnsi="Verdana"/>
          <w:b w:val="false"/>
          <w:bCs w:val="false"/>
          <w:color w:val="000000"/>
          <w:spacing w:val="-4"/>
          <w:sz w:val="20"/>
          <w:szCs w:val="20"/>
        </w:rPr>
        <w:t xml:space="preserve"> </w:t>
      </w:r>
      <w:r>
        <w:rPr>
          <w:rStyle w:val="Fontepargpadro"/>
          <w:rFonts w:eastAsia="Times New Roman" w:cs="Arial" w:ascii="Verdana" w:hAnsi="Verdana"/>
          <w:b w:val="false"/>
          <w:bCs w:val="false"/>
          <w:color w:val="000000"/>
          <w:sz w:val="20"/>
          <w:szCs w:val="20"/>
        </w:rPr>
        <w:t>do</w:t>
      </w:r>
      <w:r>
        <w:rPr>
          <w:rStyle w:val="Fontepargpadro"/>
          <w:rFonts w:eastAsia="Times New Roman" w:cs="Arial" w:ascii="Verdana" w:hAnsi="Verdana"/>
          <w:b w:val="false"/>
          <w:bCs w:val="false"/>
          <w:color w:val="000000"/>
          <w:spacing w:val="-3"/>
          <w:sz w:val="20"/>
          <w:szCs w:val="20"/>
        </w:rPr>
        <w:t xml:space="preserve"> </w:t>
      </w:r>
      <w:r>
        <w:rPr>
          <w:rStyle w:val="Fontepargpadro"/>
          <w:rFonts w:eastAsia="Times New Roman" w:cs="Arial" w:ascii="Verdana" w:hAnsi="Verdana"/>
          <w:b w:val="false"/>
          <w:bCs w:val="false"/>
          <w:color w:val="000000"/>
          <w:sz w:val="20"/>
          <w:szCs w:val="20"/>
        </w:rPr>
        <w:t>local</w:t>
      </w:r>
      <w:r>
        <w:rPr>
          <w:rStyle w:val="Fontepargpadro"/>
          <w:rFonts w:eastAsia="Times New Roman" w:cs="Arial" w:ascii="Verdana" w:hAnsi="Verdana"/>
          <w:b w:val="false"/>
          <w:bCs w:val="false"/>
          <w:color w:val="000000"/>
          <w:spacing w:val="-1"/>
          <w:sz w:val="20"/>
          <w:szCs w:val="20"/>
        </w:rPr>
        <w:t xml:space="preserve"> </w:t>
      </w:r>
      <w:r>
        <w:rPr>
          <w:rStyle w:val="Fontepargpadro"/>
          <w:rFonts w:eastAsia="Times New Roman" w:cs="Arial" w:ascii="Verdana" w:hAnsi="Verdana"/>
          <w:b w:val="false"/>
          <w:bCs w:val="false"/>
          <w:color w:val="000000"/>
          <w:sz w:val="20"/>
          <w:szCs w:val="20"/>
        </w:rPr>
        <w:t>de</w:t>
      </w:r>
      <w:r>
        <w:rPr>
          <w:rStyle w:val="Fontepargpadro"/>
          <w:rFonts w:eastAsia="Times New Roman" w:cs="Arial" w:ascii="Verdana" w:hAnsi="Verdana"/>
          <w:b w:val="false"/>
          <w:bCs w:val="false"/>
          <w:color w:val="000000"/>
          <w:spacing w:val="-4"/>
          <w:sz w:val="20"/>
          <w:szCs w:val="20"/>
        </w:rPr>
        <w:t xml:space="preserve"> </w:t>
      </w:r>
      <w:r>
        <w:rPr>
          <w:rStyle w:val="Fontepargpadro"/>
          <w:rFonts w:eastAsia="Times New Roman" w:cs="Arial" w:ascii="Verdana" w:hAnsi="Verdana"/>
          <w:b w:val="false"/>
          <w:bCs w:val="false"/>
          <w:color w:val="000000"/>
          <w:sz w:val="20"/>
          <w:szCs w:val="20"/>
        </w:rPr>
        <w:t>execução</w:t>
      </w:r>
      <w:r>
        <w:rPr>
          <w:rStyle w:val="Fontepargpadro"/>
          <w:rFonts w:eastAsia="Times New Roman" w:cs="Arial" w:ascii="Verdana" w:hAnsi="Verdana"/>
          <w:b w:val="false"/>
          <w:bCs w:val="false"/>
          <w:color w:val="000000"/>
          <w:spacing w:val="-1"/>
          <w:sz w:val="20"/>
          <w:szCs w:val="20"/>
        </w:rPr>
        <w:t xml:space="preserve"> </w:t>
      </w:r>
      <w:r>
        <w:rPr>
          <w:rStyle w:val="Fontepargpadro"/>
          <w:rFonts w:eastAsia="Times New Roman" w:cs="Arial" w:ascii="Verdana" w:hAnsi="Verdana"/>
          <w:b w:val="false"/>
          <w:bCs w:val="false"/>
          <w:color w:val="000000"/>
          <w:sz w:val="20"/>
          <w:szCs w:val="20"/>
        </w:rPr>
        <w:t>é imprescindível</w:t>
      </w:r>
      <w:r>
        <w:rPr>
          <w:rStyle w:val="Fontepargpadro"/>
          <w:rFonts w:eastAsia="Times New Roman" w:cs="Arial" w:ascii="Verdana" w:hAnsi="Verdana"/>
          <w:b w:val="false"/>
          <w:bCs w:val="false"/>
          <w:color w:val="000000"/>
          <w:spacing w:val="-1"/>
          <w:sz w:val="20"/>
          <w:szCs w:val="20"/>
        </w:rPr>
        <w:t xml:space="preserve"> </w:t>
      </w:r>
      <w:r>
        <w:rPr>
          <w:rStyle w:val="Fontepargpadro"/>
          <w:rFonts w:eastAsia="Times New Roman" w:cs="Arial" w:ascii="Verdana" w:hAnsi="Verdana"/>
          <w:b w:val="false"/>
          <w:bCs w:val="false"/>
          <w:color w:val="000000"/>
          <w:sz w:val="20"/>
          <w:szCs w:val="20"/>
        </w:rPr>
        <w:t>para</w:t>
      </w:r>
      <w:r>
        <w:rPr>
          <w:rStyle w:val="Fontepargpadro"/>
          <w:rFonts w:eastAsia="Times New Roman" w:cs="Arial" w:ascii="Verdana" w:hAnsi="Verdana"/>
          <w:b w:val="false"/>
          <w:bCs w:val="false"/>
          <w:color w:val="000000"/>
          <w:spacing w:val="-2"/>
          <w:sz w:val="20"/>
          <w:szCs w:val="20"/>
        </w:rPr>
        <w:t xml:space="preserve"> </w:t>
      </w:r>
      <w:r>
        <w:rPr>
          <w:rStyle w:val="Fontepargpadro"/>
          <w:rFonts w:eastAsia="Times New Roman" w:cs="Arial" w:ascii="Verdana" w:hAnsi="Verdana"/>
          <w:b w:val="false"/>
          <w:bCs w:val="false"/>
          <w:color w:val="000000"/>
          <w:sz w:val="20"/>
          <w:szCs w:val="20"/>
        </w:rPr>
        <w:t>o</w:t>
      </w:r>
      <w:r>
        <w:rPr>
          <w:rStyle w:val="Fontepargpadro"/>
          <w:rFonts w:eastAsia="Times New Roman" w:cs="Arial" w:ascii="Verdana" w:hAnsi="Verdana"/>
          <w:b w:val="false"/>
          <w:bCs w:val="false"/>
          <w:color w:val="000000"/>
          <w:spacing w:val="-1"/>
          <w:sz w:val="20"/>
          <w:szCs w:val="20"/>
        </w:rPr>
        <w:t xml:space="preserve"> </w:t>
      </w:r>
      <w:r>
        <w:rPr>
          <w:rStyle w:val="Fontepargpadro"/>
          <w:rFonts w:eastAsia="Times New Roman" w:cs="Arial" w:ascii="Verdana" w:hAnsi="Verdana"/>
          <w:b w:val="false"/>
          <w:bCs w:val="false"/>
          <w:color w:val="000000"/>
          <w:sz w:val="20"/>
          <w:szCs w:val="20"/>
        </w:rPr>
        <w:t>conhecimento</w:t>
      </w:r>
      <w:r>
        <w:rPr>
          <w:rStyle w:val="Fontepargpadro"/>
          <w:rFonts w:eastAsia="Times New Roman" w:cs="Arial" w:ascii="Verdana" w:hAnsi="Verdana"/>
          <w:b w:val="false"/>
          <w:bCs w:val="false"/>
          <w:color w:val="000000"/>
          <w:spacing w:val="-1"/>
          <w:sz w:val="20"/>
          <w:szCs w:val="20"/>
        </w:rPr>
        <w:t xml:space="preserve"> </w:t>
      </w:r>
      <w:r>
        <w:rPr>
          <w:rStyle w:val="Fontepargpadro"/>
          <w:rFonts w:eastAsia="Times New Roman" w:cs="Arial" w:ascii="Verdana" w:hAnsi="Verdana"/>
          <w:b w:val="false"/>
          <w:bCs w:val="false"/>
          <w:color w:val="000000"/>
          <w:sz w:val="20"/>
          <w:szCs w:val="20"/>
        </w:rPr>
        <w:t>pleno</w:t>
      </w:r>
      <w:r>
        <w:rPr>
          <w:rStyle w:val="Fontepargpadro"/>
          <w:rFonts w:eastAsia="Times New Roman" w:cs="Arial" w:ascii="Verdana" w:hAnsi="Verdana"/>
          <w:b w:val="false"/>
          <w:bCs w:val="false"/>
          <w:color w:val="000000"/>
          <w:spacing w:val="-2"/>
          <w:sz w:val="20"/>
          <w:szCs w:val="20"/>
        </w:rPr>
        <w:t xml:space="preserve"> </w:t>
      </w:r>
      <w:r>
        <w:rPr>
          <w:rStyle w:val="Fontepargpadro"/>
          <w:rFonts w:eastAsia="Times New Roman" w:cs="Arial" w:ascii="Verdana" w:hAnsi="Verdana"/>
          <w:b w:val="false"/>
          <w:bCs w:val="false"/>
          <w:color w:val="000000"/>
          <w:sz w:val="20"/>
          <w:szCs w:val="20"/>
        </w:rPr>
        <w:t>das</w:t>
      </w:r>
      <w:r>
        <w:rPr>
          <w:rStyle w:val="Fontepargpadro"/>
          <w:rFonts w:eastAsia="Times New Roman" w:cs="Arial" w:ascii="Verdana" w:hAnsi="Verdana"/>
          <w:b w:val="false"/>
          <w:bCs w:val="false"/>
          <w:color w:val="000000"/>
          <w:spacing w:val="-1"/>
          <w:sz w:val="20"/>
          <w:szCs w:val="20"/>
        </w:rPr>
        <w:t xml:space="preserve"> </w:t>
      </w:r>
      <w:r>
        <w:rPr>
          <w:rStyle w:val="Fontepargpadro"/>
          <w:rFonts w:eastAsia="Times New Roman" w:cs="Arial" w:ascii="Verdana" w:hAnsi="Verdana"/>
          <w:b w:val="false"/>
          <w:bCs w:val="false"/>
          <w:color w:val="000000"/>
          <w:sz w:val="20"/>
          <w:szCs w:val="20"/>
        </w:rPr>
        <w:t>condições</w:t>
      </w:r>
      <w:r>
        <w:rPr>
          <w:rStyle w:val="Fontepargpadro"/>
          <w:rFonts w:eastAsia="Times New Roman" w:cs="Arial" w:ascii="Verdana" w:hAnsi="Verdana"/>
          <w:b w:val="false"/>
          <w:bCs w:val="false"/>
          <w:color w:val="000000"/>
          <w:spacing w:val="-1"/>
          <w:sz w:val="20"/>
          <w:szCs w:val="20"/>
        </w:rPr>
        <w:t xml:space="preserve"> </w:t>
      </w:r>
      <w:r>
        <w:rPr>
          <w:rStyle w:val="Fontepargpadro"/>
          <w:rFonts w:eastAsia="Times New Roman" w:cs="Arial" w:ascii="Verdana" w:hAnsi="Verdana"/>
          <w:b w:val="false"/>
          <w:bCs w:val="false"/>
          <w:color w:val="000000"/>
          <w:sz w:val="20"/>
          <w:szCs w:val="20"/>
        </w:rPr>
        <w:t>e</w:t>
      </w:r>
      <w:r>
        <w:rPr>
          <w:rStyle w:val="Fontepargpadro"/>
          <w:rFonts w:eastAsia="Times New Roman" w:cs="Arial" w:ascii="Verdana" w:hAnsi="Verdana"/>
          <w:b w:val="false"/>
          <w:bCs w:val="false"/>
          <w:color w:val="000000"/>
          <w:spacing w:val="-2"/>
          <w:sz w:val="20"/>
          <w:szCs w:val="20"/>
        </w:rPr>
        <w:t xml:space="preserve"> </w:t>
      </w:r>
      <w:r>
        <w:rPr>
          <w:rStyle w:val="Fontepargpadro"/>
          <w:rFonts w:eastAsia="Times New Roman" w:cs="Arial" w:ascii="Verdana" w:hAnsi="Verdana"/>
          <w:b w:val="false"/>
          <w:bCs w:val="false"/>
          <w:color w:val="000000"/>
          <w:sz w:val="20"/>
          <w:szCs w:val="20"/>
        </w:rPr>
        <w:t>peculiaridades</w:t>
      </w:r>
      <w:r>
        <w:rPr>
          <w:rStyle w:val="Fontepargpadro"/>
          <w:rFonts w:eastAsia="Times New Roman" w:cs="Arial" w:ascii="Verdana" w:hAnsi="Verdana"/>
          <w:b w:val="false"/>
          <w:bCs w:val="false"/>
          <w:color w:val="000000"/>
          <w:spacing w:val="-1"/>
          <w:sz w:val="20"/>
          <w:szCs w:val="20"/>
        </w:rPr>
        <w:t xml:space="preserve"> </w:t>
      </w:r>
      <w:r>
        <w:rPr>
          <w:rStyle w:val="Fontepargpadro"/>
          <w:rFonts w:eastAsia="Times New Roman" w:cs="Arial" w:ascii="Verdana" w:hAnsi="Verdana"/>
          <w:b w:val="false"/>
          <w:bCs w:val="false"/>
          <w:color w:val="000000"/>
          <w:sz w:val="20"/>
          <w:szCs w:val="20"/>
        </w:rPr>
        <w:t>do objeto</w:t>
      </w:r>
      <w:r>
        <w:rPr>
          <w:rStyle w:val="Fontepargpadro"/>
          <w:rFonts w:eastAsia="Times New Roman" w:cs="Arial" w:ascii="Verdana" w:hAnsi="Verdana"/>
          <w:b w:val="false"/>
          <w:bCs w:val="false"/>
          <w:color w:val="000000"/>
          <w:spacing w:val="-1"/>
          <w:sz w:val="20"/>
          <w:szCs w:val="20"/>
        </w:rPr>
        <w:t xml:space="preserve"> </w:t>
      </w:r>
      <w:r>
        <w:rPr>
          <w:rStyle w:val="Fontepargpadro"/>
          <w:rFonts w:eastAsia="Times New Roman" w:cs="Arial" w:ascii="Verdana" w:hAnsi="Verdana"/>
          <w:b w:val="false"/>
          <w:bCs w:val="false"/>
          <w:color w:val="000000"/>
          <w:sz w:val="20"/>
          <w:szCs w:val="20"/>
        </w:rPr>
        <w:t>a</w:t>
      </w:r>
      <w:r>
        <w:rPr>
          <w:rStyle w:val="Fontepargpadro"/>
          <w:rFonts w:eastAsia="Times New Roman" w:cs="Arial" w:ascii="Verdana" w:hAnsi="Verdana"/>
          <w:b w:val="false"/>
          <w:bCs w:val="false"/>
          <w:color w:val="000000"/>
          <w:spacing w:val="-2"/>
          <w:sz w:val="20"/>
          <w:szCs w:val="20"/>
        </w:rPr>
        <w:t xml:space="preserve"> </w:t>
      </w:r>
      <w:r>
        <w:rPr>
          <w:rStyle w:val="Fontepargpadro"/>
          <w:rFonts w:eastAsia="Times New Roman" w:cs="Arial" w:ascii="Verdana" w:hAnsi="Verdana"/>
          <w:b w:val="false"/>
          <w:bCs w:val="false"/>
          <w:color w:val="000000"/>
          <w:sz w:val="20"/>
          <w:szCs w:val="20"/>
        </w:rPr>
        <w:t>ser</w:t>
      </w:r>
      <w:r>
        <w:rPr>
          <w:rStyle w:val="Fontepargpadro"/>
          <w:rFonts w:eastAsia="Times New Roman" w:cs="Arial" w:ascii="Verdana" w:hAnsi="Verdana"/>
          <w:b w:val="false"/>
          <w:bCs w:val="false"/>
          <w:color w:val="000000"/>
          <w:spacing w:val="-2"/>
          <w:sz w:val="20"/>
          <w:szCs w:val="20"/>
        </w:rPr>
        <w:t xml:space="preserve"> </w:t>
      </w:r>
      <w:r>
        <w:rPr>
          <w:rStyle w:val="Fontepargpadro"/>
          <w:rFonts w:eastAsia="Times New Roman" w:cs="Arial" w:ascii="Verdana" w:hAnsi="Verdana"/>
          <w:b w:val="false"/>
          <w:bCs w:val="false"/>
          <w:color w:val="000000"/>
          <w:sz w:val="20"/>
          <w:szCs w:val="20"/>
        </w:rPr>
        <w:t>contratado, o licitante deve atestar, sob pena de inabilitação, que conhece o local e as condições de realização do serviço, assegurado a ele o direito de realização de vistoria prévia.</w:t>
      </w:r>
    </w:p>
    <w:p>
      <w:pPr>
        <w:pStyle w:val="Normal"/>
        <w:spacing w:lineRule="auto" w:line="240"/>
        <w:ind w:hanging="0" w:left="0" w:right="0"/>
        <w:jc w:val="both"/>
        <w:rPr>
          <w:rFonts w:ascii="Verdana" w:hAnsi="Verdana"/>
          <w:sz w:val="20"/>
          <w:szCs w:val="20"/>
        </w:rPr>
      </w:pPr>
      <w:r>
        <w:rPr>
          <w:rFonts w:ascii="Verdana" w:hAnsi="Verdana"/>
          <w:sz w:val="20"/>
          <w:szCs w:val="20"/>
        </w:rPr>
      </w:r>
    </w:p>
    <w:p>
      <w:pPr>
        <w:pStyle w:val="Normal"/>
        <w:spacing w:lineRule="auto" w:line="240"/>
        <w:ind w:hanging="0" w:left="0" w:right="0"/>
        <w:jc w:val="both"/>
        <w:rPr>
          <w:rFonts w:ascii="Verdana" w:hAnsi="Verdana"/>
          <w:sz w:val="20"/>
          <w:szCs w:val="20"/>
        </w:rPr>
      </w:pPr>
      <w:r>
        <w:rPr>
          <w:rFonts w:ascii="Verdana" w:hAnsi="Verdana"/>
          <w:b/>
          <w:bCs/>
          <w:sz w:val="20"/>
          <w:szCs w:val="20"/>
          <w:shd w:fill="auto" w:val="clear"/>
        </w:rPr>
        <w:t xml:space="preserve">5. MODELO DE EXECUÇÃO CONTRATUAL </w:t>
      </w:r>
    </w:p>
    <w:p>
      <w:pPr>
        <w:pStyle w:val="Normal"/>
        <w:widowControl/>
        <w:tabs>
          <w:tab w:val="clear" w:pos="708"/>
          <w:tab w:val="left" w:pos="508" w:leader="none"/>
        </w:tabs>
        <w:suppressAutoHyphens w:val="true"/>
        <w:bidi w:val="0"/>
        <w:spacing w:lineRule="auto" w:line="240" w:before="0" w:after="0"/>
        <w:ind w:hanging="0" w:left="0" w:right="0"/>
        <w:jc w:val="both"/>
        <w:rPr>
          <w:rFonts w:ascii="Verdana" w:hAnsi="Verdana"/>
          <w:sz w:val="20"/>
          <w:szCs w:val="20"/>
        </w:rPr>
      </w:pPr>
      <w:r>
        <w:rPr>
          <w:rFonts w:ascii="Verdana" w:hAnsi="Verdana"/>
          <w:sz w:val="20"/>
          <w:szCs w:val="20"/>
          <w:shd w:fill="auto" w:val="clear"/>
        </w:rPr>
        <w:t>5.1. O prazo de execução dos serviços será de 120 (noventa) dias, com início dos serviços em até 15 (quinze) dias após a confirmação de recebimento da autorização de fornecimento emitida pelo Departamento de Compras e Contratos.</w:t>
      </w:r>
    </w:p>
    <w:p>
      <w:pPr>
        <w:pStyle w:val="Normal"/>
        <w:widowControl/>
        <w:tabs>
          <w:tab w:val="clear" w:pos="708"/>
          <w:tab w:val="left" w:pos="508" w:leader="none"/>
        </w:tabs>
        <w:suppressAutoHyphens w:val="true"/>
        <w:bidi w:val="0"/>
        <w:spacing w:lineRule="auto" w:line="240" w:before="0" w:after="0"/>
        <w:ind w:hanging="0" w:left="0" w:right="0"/>
        <w:jc w:val="both"/>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5.2.</w:t>
      </w:r>
      <w:r>
        <w:rPr>
          <w:rFonts w:eastAsia="Arial" w:cs="Times New Roman" w:ascii="Verdana" w:hAnsi="Verdana"/>
          <w:bCs/>
          <w:color w:val="000000"/>
          <w:kern w:val="0"/>
          <w:sz w:val="20"/>
          <w:szCs w:val="20"/>
          <w:shd w:fill="auto" w:val="clear"/>
          <w:lang w:val="pt-BR" w:eastAsia="pt-BR" w:bidi="ar-SA"/>
        </w:rPr>
        <w:t xml:space="preserve"> Os serviços deverão ser realizados na EMEIC “FRANCISCO JOSÉ MATTEDI”</w:t>
      </w:r>
    </w:p>
    <w:p>
      <w:pPr>
        <w:pStyle w:val="normal2"/>
        <w:spacing w:lineRule="auto" w:line="240" w:before="0" w:after="0"/>
        <w:jc w:val="both"/>
        <w:rPr>
          <w:rFonts w:ascii="Verdana" w:hAnsi="Verdana"/>
          <w:sz w:val="20"/>
          <w:szCs w:val="20"/>
        </w:rPr>
      </w:pPr>
      <w:r>
        <w:rPr>
          <w:rFonts w:ascii="Verdana" w:hAnsi="Verdana"/>
          <w:b w:val="false"/>
          <w:bCs w:val="false"/>
          <w:sz w:val="20"/>
          <w:szCs w:val="20"/>
        </w:rPr>
        <w:t>Zona Rural (Corrego General Rondon)</w:t>
      </w:r>
    </w:p>
    <w:p>
      <w:pPr>
        <w:pStyle w:val="normal2"/>
        <w:spacing w:lineRule="auto" w:line="240" w:before="0" w:after="0"/>
        <w:jc w:val="both"/>
        <w:rPr>
          <w:rFonts w:ascii="Verdana" w:hAnsi="Verdana"/>
          <w:sz w:val="20"/>
          <w:szCs w:val="20"/>
        </w:rPr>
      </w:pPr>
      <w:r>
        <w:rPr>
          <w:rFonts w:ascii="Verdana" w:hAnsi="Verdana"/>
          <w:b w:val="false"/>
          <w:bCs w:val="false"/>
          <w:sz w:val="20"/>
          <w:szCs w:val="20"/>
        </w:rPr>
        <w:t>São Gabriel da Palha – ES</w:t>
      </w:r>
    </w:p>
    <w:p>
      <w:pPr>
        <w:pStyle w:val="normal2"/>
        <w:spacing w:lineRule="auto" w:line="240" w:before="0" w:after="0"/>
        <w:jc w:val="both"/>
        <w:rPr>
          <w:rFonts w:ascii="Verdana" w:hAnsi="Verdana"/>
          <w:sz w:val="20"/>
          <w:szCs w:val="20"/>
        </w:rPr>
      </w:pPr>
      <w:r>
        <w:rPr>
          <w:rFonts w:ascii="Verdana" w:hAnsi="Verdana"/>
          <w:b w:val="false"/>
          <w:bCs w:val="false"/>
          <w:sz w:val="20"/>
          <w:szCs w:val="20"/>
        </w:rPr>
        <w:t>CEP 29.7800-000</w:t>
      </w:r>
    </w:p>
    <w:p>
      <w:pPr>
        <w:pStyle w:val="Normal"/>
        <w:widowControl/>
        <w:tabs>
          <w:tab w:val="clear" w:pos="708"/>
          <w:tab w:val="left" w:pos="508" w:leader="none"/>
        </w:tabs>
        <w:suppressAutoHyphens w:val="true"/>
        <w:bidi w:val="0"/>
        <w:spacing w:lineRule="auto" w:line="240" w:before="0" w:after="0"/>
        <w:ind w:hanging="0" w:left="0" w:right="0"/>
        <w:jc w:val="both"/>
        <w:rPr>
          <w:rFonts w:ascii="Verdana" w:hAnsi="Verdana"/>
          <w:sz w:val="20"/>
          <w:szCs w:val="20"/>
        </w:rPr>
      </w:pPr>
      <w:r>
        <w:rPr>
          <w:rFonts w:eastAsia="Times New Roman" w:cs="Arial" w:ascii="Verdana" w:hAnsi="Verdana"/>
          <w:bCs/>
          <w:color w:val="000000"/>
          <w:kern w:val="0"/>
          <w:sz w:val="20"/>
          <w:szCs w:val="20"/>
          <w:u w:val="none"/>
          <w:shd w:fill="auto" w:val="clear"/>
          <w:lang w:val="pt-BR" w:eastAsia="pt-BR" w:bidi="ar-SA"/>
        </w:rPr>
        <w:t xml:space="preserve">5.2.1 Responsável: </w:t>
      </w:r>
      <w:r>
        <w:rPr>
          <w:rFonts w:ascii="Verdana" w:hAnsi="Verdana"/>
          <w:sz w:val="20"/>
          <w:szCs w:val="20"/>
          <w:shd w:fill="auto" w:val="clear"/>
        </w:rPr>
        <w:t xml:space="preserve">Secretaria Municipal de </w:t>
      </w:r>
      <w:r>
        <w:rPr>
          <w:rFonts w:eastAsia="Times New Roman" w:cs="Times New Roman" w:ascii="Verdana" w:hAnsi="Verdana"/>
          <w:sz w:val="20"/>
          <w:szCs w:val="20"/>
          <w:shd w:fill="auto" w:val="clear"/>
        </w:rPr>
        <w:t>E</w:t>
      </w:r>
      <w:r>
        <w:rPr>
          <w:rFonts w:eastAsia="Times New Roman" w:cs="Times New Roman" w:ascii="Verdana" w:hAnsi="Verdana"/>
          <w:color w:val="000000"/>
          <w:kern w:val="0"/>
          <w:sz w:val="20"/>
          <w:szCs w:val="20"/>
          <w:shd w:fill="auto" w:val="clear"/>
          <w:lang w:val="pt-BR" w:eastAsia="pt-BR" w:bidi="ar-SA"/>
        </w:rPr>
        <w:t>ducação</w:t>
      </w:r>
      <w:r>
        <w:rPr>
          <w:rFonts w:ascii="Verdana" w:hAnsi="Verdana"/>
          <w:sz w:val="20"/>
          <w:szCs w:val="20"/>
          <w:shd w:fill="auto" w:val="clear"/>
        </w:rPr>
        <w:t xml:space="preserve">, localizada no 2º andar da Sede desta Prefeitura, à </w:t>
      </w:r>
      <w:r>
        <w:rPr>
          <w:rFonts w:eastAsia="Times New Roman" w:cs="Liberation Serif" w:ascii="Verdana" w:hAnsi="Verdana"/>
          <w:color w:val="000000"/>
          <w:kern w:val="0"/>
          <w:sz w:val="20"/>
          <w:szCs w:val="20"/>
          <w:shd w:fill="auto" w:val="clear"/>
          <w:lang w:val="pt-BR" w:eastAsia="pt-BR" w:bidi="ar-SA"/>
        </w:rPr>
        <w:t>Praça Vicente Glazar, nº 159</w:t>
      </w:r>
      <w:r>
        <w:rPr>
          <w:rFonts w:cs="Liberation Serif" w:ascii="Verdana" w:hAnsi="Verdana"/>
          <w:sz w:val="20"/>
          <w:szCs w:val="20"/>
          <w:shd w:fill="auto" w:val="clear"/>
        </w:rPr>
        <w:t xml:space="preserve">, Bairro Glória, </w:t>
      </w:r>
      <w:r>
        <w:rPr>
          <w:rFonts w:ascii="Verdana" w:hAnsi="Verdana"/>
          <w:sz w:val="20"/>
          <w:szCs w:val="20"/>
          <w:shd w:fill="auto" w:val="clear"/>
        </w:rPr>
        <w:t>São Gabriel da Palha – ES, Cep.29.780-000.</w:t>
      </w:r>
    </w:p>
    <w:p>
      <w:pPr>
        <w:pStyle w:val="Normal"/>
        <w:tabs>
          <w:tab w:val="clear" w:pos="708"/>
          <w:tab w:val="left" w:pos="508" w:leader="none"/>
        </w:tabs>
        <w:spacing w:lineRule="auto" w:line="240"/>
        <w:ind w:hanging="0" w:left="0" w:right="0"/>
        <w:jc w:val="both"/>
        <w:rPr>
          <w:rFonts w:ascii="Verdana" w:hAnsi="Verdana"/>
          <w:sz w:val="20"/>
          <w:szCs w:val="20"/>
        </w:rPr>
      </w:pPr>
      <w:r>
        <w:rPr>
          <w:rFonts w:ascii="Verdana" w:hAnsi="Verdana"/>
          <w:sz w:val="20"/>
          <w:szCs w:val="20"/>
          <w:shd w:fill="auto" w:val="clear"/>
        </w:rPr>
        <w:t xml:space="preserve">E-mail.: </w:t>
      </w:r>
      <w:r>
        <w:rPr>
          <w:rFonts w:eastAsia="Arial" w:cs="Times New Roman" w:ascii="Verdana" w:hAnsi="Verdana"/>
          <w:bCs/>
          <w:color w:val="000000"/>
          <w:kern w:val="0"/>
          <w:sz w:val="20"/>
          <w:szCs w:val="20"/>
          <w:u w:val="none"/>
          <w:shd w:fill="auto" w:val="clear"/>
          <w:lang w:val="pt-BR" w:eastAsia="pt-BR" w:bidi="ar-SA"/>
        </w:rPr>
        <w:t>financeirosemecsgp@gmail.com</w:t>
      </w:r>
    </w:p>
    <w:p>
      <w:pPr>
        <w:pStyle w:val="Normal"/>
        <w:tabs>
          <w:tab w:val="clear" w:pos="708"/>
          <w:tab w:val="left" w:pos="508" w:leader="none"/>
        </w:tabs>
        <w:spacing w:lineRule="auto" w:line="240"/>
        <w:ind w:hanging="0" w:left="0" w:right="0"/>
        <w:jc w:val="both"/>
        <w:rPr/>
      </w:pPr>
      <w:r>
        <w:rPr>
          <w:rStyle w:val="Hyperlink"/>
          <w:rFonts w:eastAsia="Times New Roman" w:cs="Times New Roman" w:ascii="Verdana" w:hAnsi="Verdana"/>
          <w:color w:val="000000"/>
          <w:kern w:val="0"/>
          <w:sz w:val="20"/>
          <w:szCs w:val="20"/>
          <w:u w:val="none"/>
          <w:shd w:fill="auto" w:val="clear"/>
          <w:lang w:val="pt-BR" w:eastAsia="pt-BR" w:bidi="ar-SA"/>
        </w:rPr>
        <w:t>Telefone: (27) 3727 - 3993</w:t>
      </w:r>
    </w:p>
    <w:p>
      <w:pPr>
        <w:pStyle w:val="Normal"/>
        <w:tabs>
          <w:tab w:val="clear" w:pos="708"/>
          <w:tab w:val="left" w:pos="508" w:leader="none"/>
        </w:tabs>
        <w:spacing w:lineRule="auto" w:line="240"/>
        <w:ind w:hanging="0" w:left="0" w:right="0"/>
        <w:jc w:val="both"/>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5.3. A empresa deverá responsabilizar-se pelos serviços, assumindo total responsabilidade por quaisquer danos ou prejuízos causados.</w:t>
      </w:r>
    </w:p>
    <w:p>
      <w:pPr>
        <w:pStyle w:val="Normal"/>
        <w:tabs>
          <w:tab w:val="clear" w:pos="708"/>
          <w:tab w:val="left" w:pos="508" w:leader="none"/>
        </w:tabs>
        <w:spacing w:lineRule="auto" w:line="240"/>
        <w:ind w:hanging="0" w:left="0" w:right="0"/>
        <w:jc w:val="both"/>
        <w:rPr>
          <w:rFonts w:ascii="Verdana" w:hAnsi="Verdana"/>
          <w:sz w:val="20"/>
          <w:szCs w:val="20"/>
        </w:rPr>
      </w:pPr>
      <w:r>
        <w:rPr>
          <w:rFonts w:eastAsia="Times New Roman" w:cs="Times New Roman" w:ascii="Verdana" w:hAnsi="Verdana"/>
          <w:b w:val="false"/>
          <w:bCs w:val="false"/>
          <w:i w:val="false"/>
          <w:iCs w:val="false"/>
          <w:color w:val="000000"/>
          <w:kern w:val="0"/>
          <w:sz w:val="20"/>
          <w:szCs w:val="20"/>
          <w:shd w:fill="auto" w:val="clear"/>
          <w:lang w:val="pt-BR" w:eastAsia="pt-BR" w:bidi="ar-SA"/>
        </w:rPr>
        <w:t xml:space="preserve">5.4. </w:t>
      </w:r>
      <w:r>
        <w:rPr>
          <w:rFonts w:eastAsia="Times New Roman" w:cs="Arial" w:ascii="Verdana" w:hAnsi="Verdana"/>
          <w:i w:val="false"/>
          <w:iCs w:val="false"/>
          <w:color w:val="000000"/>
          <w:kern w:val="0"/>
          <w:sz w:val="20"/>
          <w:szCs w:val="20"/>
          <w:shd w:fill="auto" w:val="clear"/>
          <w:lang w:val="pt-BR" w:eastAsia="pt-BR" w:bidi="ar-SA"/>
        </w:rPr>
        <w:t>O recebimento provisório ou definitivo do objeto não exclui a responsabilidade da contratada pelos prejuízos resultantes da incorreta execução do contrato.</w:t>
      </w:r>
    </w:p>
    <w:p>
      <w:pPr>
        <w:pStyle w:val="Normal"/>
        <w:tabs>
          <w:tab w:val="clear" w:pos="708"/>
          <w:tab w:val="left" w:pos="508" w:leader="none"/>
        </w:tabs>
        <w:spacing w:lineRule="auto" w:line="240"/>
        <w:ind w:hanging="0" w:left="0" w:right="0"/>
        <w:jc w:val="both"/>
        <w:rPr>
          <w:rFonts w:ascii="Verdana" w:hAnsi="Verdana"/>
          <w:sz w:val="20"/>
          <w:szCs w:val="20"/>
        </w:rPr>
      </w:pPr>
      <w:r>
        <w:rPr>
          <w:rFonts w:eastAsia="Times New Roman" w:cs="Arial" w:ascii="Verdana" w:hAnsi="Verdana"/>
          <w:i w:val="false"/>
          <w:iCs w:val="false"/>
          <w:color w:val="000000"/>
          <w:kern w:val="0"/>
          <w:sz w:val="20"/>
          <w:szCs w:val="20"/>
          <w:shd w:fill="auto" w:val="clear"/>
          <w:lang w:val="pt-BR" w:eastAsia="pt-BR" w:bidi="ar-SA"/>
        </w:rPr>
        <w:t>5.5. O contrato deverá ser executado fielmente pelas partes, de acordo com as cláusulas avençadas e as normas da Lei nº 14.133, de 2021, e cada parte responderá pelas consequências de sua inexecução total ou parcial.</w:t>
      </w:r>
    </w:p>
    <w:p>
      <w:pPr>
        <w:pStyle w:val="Normal"/>
        <w:tabs>
          <w:tab w:val="clear" w:pos="708"/>
          <w:tab w:val="left" w:pos="508" w:leader="none"/>
        </w:tabs>
        <w:spacing w:lineRule="auto" w:line="240"/>
        <w:ind w:hanging="0" w:left="0" w:right="0"/>
        <w:jc w:val="both"/>
        <w:rPr>
          <w:rFonts w:ascii="Verdana" w:hAnsi="Verdana"/>
          <w:sz w:val="20"/>
          <w:szCs w:val="20"/>
        </w:rPr>
      </w:pPr>
      <w:r>
        <w:rPr>
          <w:rFonts w:eastAsia="Times New Roman" w:cs="Arial" w:ascii="Verdana" w:hAnsi="Verdana"/>
          <w:i w:val="false"/>
          <w:iCs w:val="false"/>
          <w:color w:val="000000"/>
          <w:kern w:val="0"/>
          <w:sz w:val="20"/>
          <w:szCs w:val="20"/>
          <w:shd w:fill="auto" w:val="clear"/>
          <w:lang w:val="pt-BR" w:eastAsia="pt-BR" w:bidi="ar-SA"/>
        </w:rPr>
        <w:t>5.6. As comunicações entre o órgão ou entidade e a contratada devem ser realizadas por escrito sempre que o ato exigir tal formalidade, admitindo-se o uso de mensagem eletrônica para esse fim.</w:t>
      </w:r>
    </w:p>
    <w:p>
      <w:pPr>
        <w:pStyle w:val="Normal"/>
        <w:tabs>
          <w:tab w:val="clear" w:pos="708"/>
          <w:tab w:val="left" w:pos="508" w:leader="none"/>
        </w:tabs>
        <w:spacing w:lineRule="auto" w:line="240"/>
        <w:ind w:hanging="0" w:left="0" w:right="0"/>
        <w:jc w:val="both"/>
        <w:rPr>
          <w:rFonts w:ascii="Verdana" w:hAnsi="Verdana"/>
          <w:sz w:val="20"/>
          <w:szCs w:val="20"/>
        </w:rPr>
      </w:pPr>
      <w:r>
        <w:rPr>
          <w:rFonts w:eastAsia="Times New Roman" w:cs="Arial" w:ascii="Verdana" w:hAnsi="Verdana"/>
          <w:i w:val="false"/>
          <w:iCs w:val="false"/>
          <w:color w:val="000000"/>
          <w:kern w:val="0"/>
          <w:sz w:val="20"/>
          <w:szCs w:val="20"/>
          <w:shd w:fill="auto" w:val="clear"/>
          <w:lang w:val="pt-BR" w:eastAsia="pt-BR" w:bidi="ar-SA"/>
        </w:rPr>
        <w:t>5.7. O órgão ou entidade poderá convocar representante da empresa para adoção de Providências que devam ser cumpridas de imediato.</w:t>
      </w:r>
    </w:p>
    <w:p>
      <w:pPr>
        <w:pStyle w:val="Nivel2"/>
        <w:spacing w:lineRule="auto" w:line="240" w:before="0" w:after="0"/>
        <w:ind w:hanging="0" w:left="0" w:right="0"/>
        <w:rPr>
          <w:rFonts w:ascii="Verdana" w:hAnsi="Verdana"/>
          <w:sz w:val="20"/>
          <w:szCs w:val="20"/>
        </w:rPr>
      </w:pPr>
      <w:r>
        <w:rPr>
          <w:rFonts w:cs="Times New Roman" w:ascii="Verdana" w:hAnsi="Verdana"/>
          <w:b w:val="false"/>
          <w:bCs w:val="false"/>
          <w:color w:val="auto"/>
          <w:sz w:val="20"/>
          <w:szCs w:val="20"/>
        </w:rPr>
        <w:t>5.8</w:t>
      </w:r>
      <w:r>
        <w:rPr>
          <w:rFonts w:eastAsia="Times New Roman" w:cs="Arial" w:ascii="Verdana" w:hAnsi="Verdana"/>
          <w:b w:val="false"/>
          <w:bCs w:val="false"/>
          <w:i w:val="false"/>
          <w:iCs w:val="false"/>
          <w:color w:val="000000"/>
          <w:kern w:val="0"/>
          <w:sz w:val="20"/>
          <w:szCs w:val="20"/>
          <w:shd w:fill="auto" w:val="clear"/>
          <w:lang w:val="pt-BR" w:eastAsia="pt-BR" w:bidi="ar-SA"/>
        </w:rPr>
        <w:t>.</w:t>
      </w:r>
      <w:r>
        <w:rPr>
          <w:rFonts w:eastAsia="Times New Roman" w:cs="Arial" w:ascii="Verdana" w:hAnsi="Verdana"/>
          <w:i w:val="false"/>
          <w:iCs w:val="false"/>
          <w:color w:val="000000"/>
          <w:kern w:val="0"/>
          <w:sz w:val="20"/>
          <w:szCs w:val="20"/>
          <w:shd w:fill="auto" w:val="clear"/>
          <w:lang w:val="pt-BR" w:eastAsia="pt-BR" w:bidi="ar-SA"/>
        </w:rPr>
        <w:t xml:space="preserve"> A conferência/fiscalização deverá ser acompanhada por um servidor </w:t>
      </w:r>
      <w:r>
        <w:rPr>
          <w:rFonts w:eastAsia="Times New Roman" w:cs="Times New Roman" w:ascii="Verdana" w:hAnsi="Verdana"/>
          <w:i w:val="false"/>
          <w:iCs w:val="false"/>
          <w:color w:val="000000"/>
          <w:kern w:val="0"/>
          <w:sz w:val="20"/>
          <w:szCs w:val="20"/>
          <w:shd w:fill="auto" w:val="clear"/>
          <w:lang w:val="pt-BR" w:eastAsia="pt-BR" w:bidi="ar-SA"/>
        </w:rPr>
        <w:t>da secretaria requisitante</w:t>
      </w:r>
      <w:r>
        <w:rPr>
          <w:rFonts w:eastAsia="Times New Roman" w:cs="Arial" w:ascii="Verdana" w:hAnsi="Verdana"/>
          <w:i w:val="false"/>
          <w:iCs w:val="false"/>
          <w:color w:val="000000"/>
          <w:kern w:val="0"/>
          <w:sz w:val="20"/>
          <w:szCs w:val="20"/>
          <w:shd w:fill="auto" w:val="clear"/>
          <w:lang w:val="pt-BR" w:eastAsia="pt-BR" w:bidi="ar-SA"/>
        </w:rPr>
        <w:t>, a fim de zelar pela qualidade e quantidade dos serviços executados.</w:t>
      </w:r>
    </w:p>
    <w:p>
      <w:pPr>
        <w:pStyle w:val="Nivel2"/>
        <w:spacing w:lineRule="auto" w:line="240" w:before="0" w:after="0"/>
        <w:ind w:hanging="0" w:left="0" w:right="0"/>
        <w:rPr>
          <w:rFonts w:ascii="Verdana" w:hAnsi="Verdana"/>
          <w:sz w:val="20"/>
          <w:szCs w:val="20"/>
        </w:rPr>
      </w:pPr>
      <w:r>
        <w:rPr>
          <w:rFonts w:cs="Arial" w:ascii="Verdana" w:hAnsi="Verdana"/>
          <w:b/>
          <w:sz w:val="20"/>
          <w:szCs w:val="20"/>
          <w:u w:val="none"/>
        </w:rPr>
        <w:t>5.10. Serviços e Critérios de Aceitação</w:t>
      </w:r>
    </w:p>
    <w:p>
      <w:pPr>
        <w:pStyle w:val="Normal"/>
        <w:tabs>
          <w:tab w:val="clear" w:pos="708"/>
          <w:tab w:val="left" w:pos="3390" w:leader="none"/>
          <w:tab w:val="center" w:pos="5032" w:leader="none"/>
        </w:tabs>
        <w:spacing w:lineRule="auto" w:line="240"/>
        <w:jc w:val="both"/>
        <w:rPr>
          <w:rFonts w:ascii="Verdana" w:hAnsi="Verdana"/>
          <w:sz w:val="20"/>
          <w:szCs w:val="20"/>
        </w:rPr>
      </w:pPr>
      <w:r>
        <w:rPr>
          <w:rFonts w:eastAsia="Arial" w:ascii="Verdana" w:hAnsi="Verdana"/>
          <w:bCs/>
          <w:sz w:val="20"/>
          <w:szCs w:val="20"/>
        </w:rPr>
        <w:t>5.10.1. Os serviços constituem-se de execução da construção de sanitários, reforma de piso e impermeabilização do telhado da EMEIC Francisco José Mattedi, com fornecimento de materiais, equipamentos, transporte e mão de obra necessários à completa execução do objeto.</w:t>
      </w:r>
    </w:p>
    <w:p>
      <w:pPr>
        <w:pStyle w:val="Normal"/>
        <w:tabs>
          <w:tab w:val="clear" w:pos="708"/>
          <w:tab w:val="left" w:pos="3390" w:leader="none"/>
          <w:tab w:val="center" w:pos="5032" w:leader="none"/>
        </w:tabs>
        <w:spacing w:lineRule="auto" w:line="240"/>
        <w:jc w:val="both"/>
        <w:rPr>
          <w:rFonts w:ascii="Verdana" w:hAnsi="Verdana"/>
          <w:sz w:val="20"/>
          <w:szCs w:val="20"/>
        </w:rPr>
      </w:pPr>
      <w:r>
        <w:rPr>
          <w:rFonts w:eastAsia="Arial" w:ascii="Verdana" w:hAnsi="Verdana"/>
          <w:bCs/>
          <w:sz w:val="20"/>
          <w:szCs w:val="20"/>
        </w:rPr>
        <w:t>5.10.2. Os serviços deverão ser executados de acordo com o cronograma estabelecido nas planilhas e projetos, sendo de inteira responsabilidade da contratada os serviços de transporte e disponibilização dos equipamentos, materiais e mão de obra;</w:t>
      </w:r>
    </w:p>
    <w:p>
      <w:pPr>
        <w:pStyle w:val="Normal"/>
        <w:tabs>
          <w:tab w:val="clear" w:pos="708"/>
          <w:tab w:val="left" w:pos="3390" w:leader="none"/>
          <w:tab w:val="center" w:pos="5032" w:leader="none"/>
        </w:tabs>
        <w:spacing w:lineRule="auto" w:line="240"/>
        <w:jc w:val="both"/>
        <w:rPr>
          <w:rFonts w:ascii="Verdana" w:hAnsi="Verdana"/>
          <w:sz w:val="20"/>
          <w:szCs w:val="20"/>
        </w:rPr>
      </w:pPr>
      <w:r>
        <w:rPr>
          <w:rFonts w:eastAsia="Arial" w:ascii="Verdana" w:hAnsi="Verdana"/>
          <w:bCs/>
          <w:sz w:val="20"/>
          <w:szCs w:val="20"/>
        </w:rPr>
        <w:t xml:space="preserve">5.10.3. O prazo para execução dos serviços requisitados será de acordo com o cronograma de execução; </w:t>
      </w:r>
    </w:p>
    <w:p>
      <w:pPr>
        <w:pStyle w:val="Normal"/>
        <w:tabs>
          <w:tab w:val="clear" w:pos="708"/>
          <w:tab w:val="left" w:pos="3390" w:leader="none"/>
          <w:tab w:val="center" w:pos="5032" w:leader="none"/>
        </w:tabs>
        <w:spacing w:lineRule="auto" w:line="240"/>
        <w:jc w:val="both"/>
        <w:rPr>
          <w:rFonts w:ascii="Verdana" w:hAnsi="Verdana"/>
          <w:sz w:val="20"/>
          <w:szCs w:val="20"/>
        </w:rPr>
      </w:pPr>
      <w:r>
        <w:rPr>
          <w:rFonts w:eastAsia="Arial" w:cs="Arial" w:ascii="Verdana" w:hAnsi="Verdana"/>
          <w:b w:val="false"/>
          <w:bCs w:val="false"/>
          <w:sz w:val="20"/>
          <w:szCs w:val="20"/>
          <w:u w:val="none"/>
        </w:rPr>
        <w:t>5.10.4. Nos preços apresentados deverão estar incluídas todas as despesas com mão de obra, materiais, encargos trabalhistas, previdenciários, fiscais, comerciais, despesas e obrigações financeiras de qualquer natureza e outras despesas, diretas e indiretas, inclusive lucro, necessários à perfeita execução da obra;</w:t>
      </w:r>
    </w:p>
    <w:p>
      <w:pPr>
        <w:pStyle w:val="Normal"/>
        <w:spacing w:lineRule="auto" w:line="240"/>
        <w:jc w:val="both"/>
        <w:rPr>
          <w:rFonts w:ascii="Verdana" w:hAnsi="Verdana"/>
          <w:sz w:val="20"/>
          <w:szCs w:val="20"/>
        </w:rPr>
      </w:pPr>
      <w:r>
        <w:rPr>
          <w:rFonts w:ascii="Verdana" w:hAnsi="Verdana"/>
          <w:b w:val="false"/>
          <w:bCs w:val="false"/>
          <w:color w:val="000000"/>
          <w:sz w:val="20"/>
          <w:szCs w:val="20"/>
        </w:rPr>
        <w:t xml:space="preserve">5.10.5. Os serviços deverão ser realizados no horário das </w:t>
      </w:r>
      <w:r>
        <w:rPr>
          <w:rFonts w:ascii="Verdana" w:hAnsi="Verdana"/>
          <w:b w:val="false"/>
          <w:bCs w:val="false"/>
          <w:sz w:val="20"/>
          <w:szCs w:val="20"/>
        </w:rPr>
        <w:t>07</w:t>
      </w:r>
      <w:r>
        <w:rPr>
          <w:rFonts w:ascii="Verdana" w:hAnsi="Verdana"/>
          <w:b w:val="false"/>
          <w:bCs w:val="false"/>
          <w:color w:val="000000"/>
          <w:sz w:val="20"/>
          <w:szCs w:val="20"/>
        </w:rPr>
        <w:t>(</w:t>
      </w:r>
      <w:r>
        <w:rPr>
          <w:rFonts w:ascii="Verdana" w:hAnsi="Verdana"/>
          <w:b w:val="false"/>
          <w:bCs w:val="false"/>
          <w:sz w:val="20"/>
          <w:szCs w:val="20"/>
        </w:rPr>
        <w:t>sete</w:t>
      </w:r>
      <w:r>
        <w:rPr>
          <w:rFonts w:ascii="Verdana" w:hAnsi="Verdana"/>
          <w:b w:val="false"/>
          <w:bCs w:val="false"/>
          <w:color w:val="000000"/>
          <w:sz w:val="20"/>
          <w:szCs w:val="20"/>
        </w:rPr>
        <w:t xml:space="preserve">) às </w:t>
      </w:r>
      <w:r>
        <w:rPr>
          <w:rFonts w:ascii="Verdana" w:hAnsi="Verdana"/>
          <w:b w:val="false"/>
          <w:bCs w:val="false"/>
          <w:sz w:val="20"/>
          <w:szCs w:val="20"/>
        </w:rPr>
        <w:t>17</w:t>
      </w:r>
      <w:r>
        <w:rPr>
          <w:rFonts w:ascii="Verdana" w:hAnsi="Verdana"/>
          <w:b w:val="false"/>
          <w:bCs w:val="false"/>
          <w:color w:val="000000"/>
          <w:sz w:val="20"/>
          <w:szCs w:val="20"/>
        </w:rPr>
        <w:t xml:space="preserve"> (dezessete) horas, de segunda a </w:t>
      </w:r>
      <w:r>
        <w:rPr>
          <w:rFonts w:ascii="Verdana" w:hAnsi="Verdana"/>
          <w:b w:val="false"/>
          <w:bCs w:val="false"/>
          <w:sz w:val="20"/>
          <w:szCs w:val="20"/>
        </w:rPr>
        <w:t>sexta</w:t>
      </w:r>
      <w:r>
        <w:rPr>
          <w:rFonts w:ascii="Verdana" w:hAnsi="Verdana"/>
          <w:b w:val="false"/>
          <w:bCs w:val="false"/>
          <w:color w:val="000000"/>
          <w:sz w:val="20"/>
          <w:szCs w:val="20"/>
        </w:rPr>
        <w:t>-feira</w:t>
      </w:r>
      <w:r>
        <w:rPr>
          <w:rFonts w:ascii="Verdana" w:hAnsi="Verdana"/>
          <w:b w:val="false"/>
          <w:bCs w:val="false"/>
          <w:sz w:val="20"/>
          <w:szCs w:val="20"/>
        </w:rPr>
        <w:t>.</w:t>
      </w:r>
    </w:p>
    <w:p>
      <w:pPr>
        <w:pStyle w:val="normal1"/>
        <w:spacing w:lineRule="auto" w:line="240"/>
        <w:jc w:val="both"/>
        <w:rPr>
          <w:rFonts w:ascii="Verdana" w:hAnsi="Verdana"/>
          <w:sz w:val="20"/>
          <w:szCs w:val="20"/>
        </w:rPr>
      </w:pPr>
      <w:r>
        <w:rPr>
          <w:rFonts w:ascii="Verdana" w:hAnsi="Verdana"/>
          <w:b w:val="false"/>
          <w:bCs w:val="false"/>
          <w:sz w:val="20"/>
          <w:szCs w:val="20"/>
        </w:rPr>
        <w:t>5.10.6 .A realização dos serviços, bem como a entrega, deverá ocorrer no endereço listado no item 5.2.</w:t>
      </w:r>
    </w:p>
    <w:p>
      <w:pPr>
        <w:pStyle w:val="normal1"/>
        <w:spacing w:lineRule="auto" w:line="240"/>
        <w:jc w:val="both"/>
        <w:rPr>
          <w:rFonts w:ascii="Verdana" w:hAnsi="Verdana"/>
          <w:sz w:val="20"/>
          <w:szCs w:val="20"/>
        </w:rPr>
      </w:pPr>
      <w:r>
        <w:rPr>
          <w:rFonts w:ascii="Verdana" w:hAnsi="Verdana"/>
          <w:b w:val="false"/>
          <w:bCs w:val="false"/>
          <w:sz w:val="20"/>
          <w:szCs w:val="20"/>
        </w:rPr>
        <w:t xml:space="preserve">5.10.7. </w:t>
      </w:r>
      <w:r>
        <w:rPr>
          <w:rFonts w:ascii="Verdana" w:hAnsi="Verdana"/>
          <w:b w:val="false"/>
          <w:bCs w:val="false"/>
          <w:color w:val="000000"/>
          <w:sz w:val="20"/>
          <w:szCs w:val="20"/>
        </w:rPr>
        <w:t xml:space="preserve"> Para toda a realização dos serviços a CONTRATADA deverá emitir um relatório detalhado dos serviços executados, </w:t>
      </w:r>
      <w:r>
        <w:rPr>
          <w:rFonts w:ascii="Verdana" w:hAnsi="Verdana"/>
          <w:b w:val="false"/>
          <w:bCs w:val="false"/>
          <w:sz w:val="20"/>
          <w:szCs w:val="20"/>
        </w:rPr>
        <w:t>o</w:t>
      </w:r>
      <w:r>
        <w:rPr>
          <w:rFonts w:ascii="Verdana" w:hAnsi="Verdana"/>
          <w:b w:val="false"/>
          <w:bCs w:val="false"/>
          <w:color w:val="000000"/>
          <w:sz w:val="20"/>
          <w:szCs w:val="20"/>
        </w:rPr>
        <w:t>s formulários deverão ser padronizados e acertados de comum acordo entre o CONTRATANTE e a CONTRATADA.</w:t>
      </w:r>
    </w:p>
    <w:p>
      <w:pPr>
        <w:pStyle w:val="ListParagraph"/>
        <w:tabs>
          <w:tab w:val="clear" w:pos="708"/>
          <w:tab w:val="left" w:pos="508" w:leader="none"/>
        </w:tabs>
        <w:spacing w:lineRule="auto" w:line="240"/>
        <w:ind w:hanging="0" w:left="0" w:right="0"/>
        <w:jc w:val="both"/>
        <w:rPr>
          <w:rFonts w:ascii="Verdana" w:hAnsi="Verdana" w:cs="Arial"/>
          <w:b w:val="false"/>
          <w:bCs w:val="false"/>
          <w:sz w:val="20"/>
          <w:szCs w:val="20"/>
          <w:u w:val="single"/>
        </w:rPr>
      </w:pPr>
      <w:r>
        <w:rPr>
          <w:rFonts w:cs="Arial" w:ascii="Verdana" w:hAnsi="Verdana"/>
          <w:b w:val="false"/>
          <w:bCs w:val="false"/>
          <w:sz w:val="20"/>
          <w:szCs w:val="20"/>
          <w:u w:val="single"/>
        </w:rPr>
      </w:r>
    </w:p>
    <w:p>
      <w:pPr>
        <w:pStyle w:val="Normal"/>
        <w:spacing w:lineRule="auto" w:line="240"/>
        <w:ind w:hanging="0" w:left="0" w:right="0"/>
        <w:jc w:val="both"/>
        <w:rPr>
          <w:rFonts w:ascii="Verdana" w:hAnsi="Verdana"/>
          <w:sz w:val="20"/>
          <w:szCs w:val="20"/>
        </w:rPr>
      </w:pPr>
      <w:r>
        <w:rPr>
          <w:rFonts w:cs="Arial" w:ascii="Verdana" w:hAnsi="Verdana"/>
          <w:b/>
          <w:bCs/>
          <w:i w:val="false"/>
          <w:iCs w:val="false"/>
          <w:color w:val="000000"/>
          <w:sz w:val="20"/>
          <w:szCs w:val="20"/>
          <w:shd w:fill="auto" w:val="clear"/>
        </w:rPr>
        <w:t>6. OBRIGAÇÕES DA CONTRATANTE</w:t>
      </w:r>
    </w:p>
    <w:p>
      <w:pPr>
        <w:pStyle w:val="Normal"/>
        <w:spacing w:lineRule="auto" w:line="24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6.1. Constituem obrigações da Contratante, além de outras previstas no Contrato, Projeto Básico e Termo de Referência, no Edital e seus anexos:</w:t>
      </w:r>
    </w:p>
    <w:p>
      <w:pPr>
        <w:pStyle w:val="Normal"/>
        <w:spacing w:lineRule="auto" w:line="24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6.2. Contratar o serviço no prazo e condições estabelecidas no Edital e seus anexos.</w:t>
      </w:r>
    </w:p>
    <w:p>
      <w:pPr>
        <w:pStyle w:val="Normal"/>
        <w:tabs>
          <w:tab w:val="clear" w:pos="708"/>
          <w:tab w:val="left" w:pos="508" w:leader="none"/>
        </w:tabs>
        <w:spacing w:lineRule="auto" w:line="24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6.3.</w:t>
      </w:r>
      <w:r>
        <w:rPr>
          <w:rFonts w:eastAsia="Times New Roman" w:cs="Arial" w:ascii="Verdana" w:hAnsi="Verdana"/>
          <w:b w:val="false"/>
          <w:bCs w:val="false"/>
          <w:i w:val="false"/>
          <w:iCs w:val="false"/>
          <w:color w:val="000000"/>
          <w:sz w:val="20"/>
          <w:szCs w:val="20"/>
        </w:rPr>
        <w:t xml:space="preserve"> Verificar a conformidade dos serviços prestados de acordo com as especificações constantes no Contrato, Termo de Referência, Edital e seus anexos.</w:t>
      </w:r>
    </w:p>
    <w:p>
      <w:pPr>
        <w:pStyle w:val="Normal"/>
        <w:tabs>
          <w:tab w:val="clear" w:pos="708"/>
          <w:tab w:val="left" w:pos="508" w:leader="none"/>
        </w:tabs>
        <w:spacing w:lineRule="auto" w:line="24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6.4.</w:t>
      </w:r>
      <w:r>
        <w:rPr>
          <w:rFonts w:eastAsia="Times New Roman" w:cs="Arial" w:ascii="Verdana" w:hAnsi="Verdana"/>
          <w:b w:val="false"/>
          <w:bCs w:val="false"/>
          <w:i w:val="false"/>
          <w:iCs w:val="false"/>
          <w:color w:val="000000"/>
          <w:sz w:val="20"/>
          <w:szCs w:val="20"/>
        </w:rPr>
        <w:t xml:space="preserve">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4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6.5.</w:t>
      </w:r>
      <w:r>
        <w:rPr>
          <w:rFonts w:eastAsia="Times New Roman" w:cs="Arial" w:ascii="Verdana" w:hAnsi="Verdana"/>
          <w:b w:val="false"/>
          <w:bCs w:val="false"/>
          <w:i w:val="false"/>
          <w:iCs w:val="false"/>
          <w:color w:val="000000"/>
          <w:sz w:val="20"/>
          <w:szCs w:val="20"/>
        </w:rPr>
        <w:t xml:space="preserve"> Acompanhar e fiscalizar o cumprimento das obrigações da Contratada.</w:t>
      </w:r>
    </w:p>
    <w:p>
      <w:pPr>
        <w:pStyle w:val="Normal"/>
        <w:tabs>
          <w:tab w:val="clear" w:pos="708"/>
          <w:tab w:val="left" w:pos="508" w:leader="none"/>
        </w:tabs>
        <w:spacing w:lineRule="auto" w:line="24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6.6.</w:t>
      </w:r>
      <w:r>
        <w:rPr>
          <w:rFonts w:eastAsia="Times New Roman" w:cs="Arial" w:ascii="Verdana" w:hAnsi="Verdana"/>
          <w:b w:val="false"/>
          <w:bCs w:val="false"/>
          <w:i w:val="false"/>
          <w:iCs w:val="false"/>
          <w:color w:val="000000"/>
          <w:sz w:val="20"/>
          <w:szCs w:val="20"/>
        </w:rPr>
        <w:t xml:space="preserve"> Efetuar o pagamento à Contratada no valor correspondente à prestação do objeto, no prazo e forma estabelecidos no Edital e seus anexo. </w:t>
      </w:r>
    </w:p>
    <w:p>
      <w:pPr>
        <w:pStyle w:val="Normal"/>
        <w:tabs>
          <w:tab w:val="clear" w:pos="708"/>
          <w:tab w:val="left" w:pos="508" w:leader="none"/>
        </w:tabs>
        <w:spacing w:lineRule="auto" w:line="24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6.7.</w:t>
      </w:r>
      <w:r>
        <w:rPr>
          <w:rFonts w:eastAsia="Times New Roman" w:cs="Arial" w:ascii="Verdana" w:hAnsi="Verdana"/>
          <w:b w:val="false"/>
          <w:bCs w:val="false"/>
          <w:i w:val="false"/>
          <w:iCs w:val="false"/>
          <w:color w:val="000000"/>
          <w:sz w:val="20"/>
          <w:szCs w:val="2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tabs>
          <w:tab w:val="clear" w:pos="708"/>
          <w:tab w:val="left" w:pos="508" w:leader="none"/>
        </w:tabs>
        <w:spacing w:lineRule="auto" w:line="240" w:before="0" w:after="0"/>
        <w:ind w:hanging="0" w:left="0" w:right="0"/>
        <w:jc w:val="both"/>
        <w:rPr>
          <w:rFonts w:ascii="Verdana" w:hAnsi="Verdana" w:eastAsia="Times New Roman" w:cs="Arial"/>
          <w:b w:val="false"/>
          <w:bCs w:val="false"/>
          <w:i w:val="false"/>
          <w:i w:val="false"/>
          <w:iCs w:val="false"/>
          <w:color w:val="000000"/>
          <w:sz w:val="20"/>
          <w:szCs w:val="20"/>
        </w:rPr>
      </w:pPr>
      <w:r>
        <w:rPr>
          <w:rFonts w:eastAsia="Times New Roman" w:cs="Arial" w:ascii="Verdana" w:hAnsi="Verdana"/>
          <w:b w:val="false"/>
          <w:bCs w:val="false"/>
          <w:i w:val="false"/>
          <w:iCs w:val="false"/>
          <w:color w:val="000000"/>
          <w:sz w:val="20"/>
          <w:szCs w:val="20"/>
        </w:rPr>
      </w:r>
    </w:p>
    <w:p>
      <w:pPr>
        <w:pStyle w:val="Normal"/>
        <w:spacing w:lineRule="auto" w:line="240"/>
        <w:ind w:hanging="0" w:left="0" w:right="0"/>
        <w:jc w:val="both"/>
        <w:rPr>
          <w:rFonts w:ascii="Verdana" w:hAnsi="Verdana"/>
          <w:sz w:val="20"/>
          <w:szCs w:val="20"/>
        </w:rPr>
      </w:pPr>
      <w:r>
        <w:rPr>
          <w:rFonts w:cs="Arial" w:ascii="Verdana" w:hAnsi="Verdana"/>
          <w:b/>
          <w:bCs/>
          <w:i w:val="false"/>
          <w:iCs w:val="false"/>
          <w:color w:val="000000"/>
          <w:sz w:val="20"/>
          <w:szCs w:val="20"/>
          <w:shd w:fill="auto" w:val="clear"/>
        </w:rPr>
        <w:t>7. OBRIGAÇÕES DA CONTRATADA</w:t>
      </w:r>
    </w:p>
    <w:p>
      <w:pPr>
        <w:pStyle w:val="Normal"/>
        <w:spacing w:lineRule="auto" w:line="240"/>
        <w:ind w:hanging="0" w:left="0" w:right="0"/>
        <w:jc w:val="both"/>
        <w:rPr>
          <w:rFonts w:ascii="Verdana" w:hAnsi="Verdana"/>
          <w:sz w:val="20"/>
          <w:szCs w:val="20"/>
        </w:rPr>
      </w:pPr>
      <w:r>
        <w:rPr>
          <w:rFonts w:cs="Arial" w:ascii="Verdana" w:hAnsi="Verdana"/>
          <w:b w:val="false"/>
          <w:bCs w:val="false"/>
          <w:i w:val="false"/>
          <w:iCs w:val="false"/>
          <w:color w:val="000000"/>
          <w:sz w:val="20"/>
          <w:szCs w:val="20"/>
          <w:shd w:fill="auto" w:val="clear"/>
        </w:rPr>
        <w:t>7.1. A Contratada deve cumprir todas as obrigações constantes no Contrato, neste Termo de Referência, seus anexos e sua proposta, assumindo como exclusivamente seus os riscos e as despesas decorrentes da boa e perfeita execução do objeto.</w:t>
      </w:r>
    </w:p>
    <w:p>
      <w:pPr>
        <w:pStyle w:val="Normal"/>
        <w:spacing w:lineRule="auto" w:line="240"/>
        <w:ind w:hanging="0" w:left="0" w:right="0"/>
        <w:jc w:val="both"/>
        <w:rPr>
          <w:rFonts w:ascii="Verdana" w:hAnsi="Verdana"/>
          <w:sz w:val="20"/>
          <w:szCs w:val="20"/>
        </w:rPr>
      </w:pPr>
      <w:r>
        <w:rPr>
          <w:rFonts w:cs="Arial" w:ascii="Verdana" w:hAnsi="Verdana"/>
          <w:b w:val="false"/>
          <w:bCs w:val="false"/>
          <w:i w:val="false"/>
          <w:iCs w:val="false"/>
          <w:color w:val="000000"/>
          <w:sz w:val="20"/>
          <w:szCs w:val="20"/>
          <w:shd w:fill="auto" w:val="clear"/>
        </w:rPr>
        <w:t>7.2. Efetuar as vistorias e demais serviços, conforme especificações, prazo e local constantes no Contrato, Termo de Referência e seus anexos, acompanhado da respectiva nota fiscal.</w:t>
      </w:r>
    </w:p>
    <w:p>
      <w:pPr>
        <w:pStyle w:val="Normal"/>
        <w:spacing w:lineRule="auto" w:line="240"/>
        <w:ind w:hanging="0" w:left="0" w:right="0"/>
        <w:jc w:val="both"/>
        <w:rPr>
          <w:rFonts w:ascii="Verdana" w:hAnsi="Verdana"/>
          <w:sz w:val="20"/>
          <w:szCs w:val="20"/>
        </w:rPr>
      </w:pPr>
      <w:r>
        <w:rPr>
          <w:rFonts w:cs="Arial" w:ascii="Verdana" w:hAnsi="Verdana"/>
          <w:b w:val="false"/>
          <w:bCs w:val="false"/>
          <w:i w:val="false"/>
          <w:iCs w:val="false"/>
          <w:color w:val="000000"/>
          <w:sz w:val="20"/>
          <w:szCs w:val="20"/>
          <w:shd w:fill="auto" w:val="clear"/>
        </w:rPr>
        <w:t>7.3. Responsabilizar-se pelos vícios e danos decorrentes do objeto.</w:t>
      </w:r>
    </w:p>
    <w:p>
      <w:pPr>
        <w:pStyle w:val="Normal"/>
        <w:spacing w:lineRule="auto" w:line="240"/>
        <w:ind w:hanging="0" w:left="0" w:right="0"/>
        <w:jc w:val="both"/>
        <w:rPr>
          <w:rFonts w:ascii="Verdana" w:hAnsi="Verdana"/>
          <w:sz w:val="20"/>
          <w:szCs w:val="20"/>
        </w:rPr>
      </w:pPr>
      <w:r>
        <w:rPr>
          <w:rFonts w:cs="Arial" w:ascii="Verdana" w:hAnsi="Verdana"/>
          <w:b w:val="false"/>
          <w:bCs w:val="false"/>
          <w:i w:val="false"/>
          <w:iCs w:val="false"/>
          <w:color w:val="000000"/>
          <w:sz w:val="20"/>
          <w:szCs w:val="20"/>
          <w:shd w:fill="auto" w:val="clear"/>
        </w:rPr>
        <w:t>7.4. Substituir, reparar ou corrigir, às suas expensas, no prazo fixado neste Termo de Referência, o objeto/serviço com avarias ou defeitos.</w:t>
      </w:r>
    </w:p>
    <w:p>
      <w:pPr>
        <w:pStyle w:val="Normal"/>
        <w:spacing w:lineRule="auto" w:line="240"/>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shd w:fill="auto" w:val="clear"/>
        </w:rPr>
        <w:t xml:space="preserve">7.5. </w:t>
      </w:r>
      <w:r>
        <w:rPr>
          <w:rFonts w:cs="Arial" w:ascii="Verdana" w:hAnsi="Verdana"/>
          <w:b w:val="false"/>
          <w:bCs w:val="false"/>
          <w:i w:val="false"/>
          <w:iCs w:val="false"/>
          <w:color w:val="000000"/>
          <w:sz w:val="20"/>
          <w:szCs w:val="20"/>
          <w:shd w:fill="auto" w:val="clear"/>
        </w:rPr>
        <w:t xml:space="preserve">Comunicar à Contratante, no prazo máximo de 05 </w:t>
      </w:r>
      <w:r>
        <w:rPr>
          <w:rFonts w:eastAsia="Times New Roman" w:cs="Arial" w:ascii="Verdana" w:hAnsi="Verdana"/>
          <w:b w:val="false"/>
          <w:bCs w:val="false"/>
          <w:i w:val="false"/>
          <w:iCs w:val="false"/>
          <w:color w:val="000000"/>
          <w:kern w:val="0"/>
          <w:sz w:val="20"/>
          <w:szCs w:val="20"/>
          <w:shd w:fill="auto" w:val="clear"/>
          <w:lang w:val="pt-BR" w:eastAsia="pt-BR" w:bidi="ar-SA"/>
        </w:rPr>
        <w:t>(cinco) dias</w:t>
      </w:r>
      <w:r>
        <w:rPr>
          <w:rFonts w:cs="Arial" w:ascii="Verdana" w:hAnsi="Verdana"/>
          <w:b w:val="false"/>
          <w:bCs w:val="false"/>
          <w:i w:val="false"/>
          <w:iCs w:val="false"/>
          <w:color w:val="000000"/>
          <w:sz w:val="20"/>
          <w:szCs w:val="20"/>
          <w:shd w:fill="auto" w:val="clear"/>
        </w:rPr>
        <w:t xml:space="preserve"> que antecede a data da entrega, os motivos que impossibilitem o cumprimento do prazo previsto, com a devida comprovação.</w:t>
      </w:r>
    </w:p>
    <w:p>
      <w:pPr>
        <w:pStyle w:val="Normal"/>
        <w:spacing w:lineRule="auto" w:line="240"/>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shd w:fill="auto" w:val="clear"/>
        </w:rPr>
        <w:t xml:space="preserve">7.6. </w:t>
      </w:r>
      <w:r>
        <w:rPr>
          <w:rFonts w:cs="Arial" w:ascii="Verdana" w:hAnsi="Verdana"/>
          <w:b w:val="false"/>
          <w:bCs w:val="false"/>
          <w:i w:val="false"/>
          <w:iCs w:val="false"/>
          <w:color w:val="000000"/>
          <w:sz w:val="20"/>
          <w:szCs w:val="20"/>
          <w:shd w:fill="auto" w:val="clear"/>
        </w:rPr>
        <w:t xml:space="preserve">Manter, durante toda a execução </w:t>
      </w:r>
      <w:r>
        <w:rPr>
          <w:rFonts w:eastAsia="Times New Roman" w:cs="Arial" w:ascii="Verdana" w:hAnsi="Verdana"/>
          <w:b w:val="false"/>
          <w:bCs w:val="false"/>
          <w:i w:val="false"/>
          <w:iCs w:val="false"/>
          <w:color w:val="000000"/>
          <w:kern w:val="0"/>
          <w:sz w:val="20"/>
          <w:szCs w:val="20"/>
          <w:shd w:fill="auto" w:val="clear"/>
          <w:lang w:val="pt-BR" w:eastAsia="pt-BR" w:bidi="ar-SA"/>
        </w:rPr>
        <w:t>do contrato</w:t>
      </w:r>
      <w:r>
        <w:rPr>
          <w:rFonts w:cs="Arial" w:ascii="Verdana" w:hAnsi="Verdana"/>
          <w:b w:val="false"/>
          <w:bCs w:val="false"/>
          <w:i w:val="false"/>
          <w:iCs w:val="false"/>
          <w:color w:val="000000"/>
          <w:sz w:val="20"/>
          <w:szCs w:val="20"/>
          <w:shd w:fill="auto" w:val="clear"/>
        </w:rPr>
        <w:t>, em compatibilidade com as obrigações assumidas, todas as condições de habilitação e qualificação exigidas na licitação.</w:t>
      </w:r>
    </w:p>
    <w:p>
      <w:pPr>
        <w:pStyle w:val="Normal"/>
        <w:tabs>
          <w:tab w:val="clear" w:pos="708"/>
          <w:tab w:val="left" w:pos="0" w:leader="none"/>
        </w:tabs>
        <w:spacing w:lineRule="auto" w:line="240"/>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shd w:fill="auto" w:val="clear"/>
        </w:rPr>
        <w:t xml:space="preserve">7.7. </w:t>
      </w:r>
      <w:r>
        <w:rPr>
          <w:rFonts w:cs="Arial" w:ascii="Verdana" w:hAnsi="Verdana"/>
          <w:b w:val="false"/>
          <w:bCs w:val="false"/>
          <w:i w:val="false"/>
          <w:iCs w:val="false"/>
          <w:color w:val="000000"/>
          <w:sz w:val="20"/>
          <w:szCs w:val="20"/>
          <w:shd w:fill="auto" w:val="clear"/>
        </w:rPr>
        <w:t>Indicar preposto para representá-la durante a execução d</w:t>
      </w:r>
      <w:r>
        <w:rPr>
          <w:rFonts w:eastAsia="Times New Roman" w:cs="Arial" w:ascii="Verdana" w:hAnsi="Verdana"/>
          <w:b w:val="false"/>
          <w:bCs w:val="false"/>
          <w:i w:val="false"/>
          <w:iCs w:val="false"/>
          <w:color w:val="000000"/>
          <w:kern w:val="0"/>
          <w:sz w:val="20"/>
          <w:szCs w:val="20"/>
          <w:shd w:fill="auto" w:val="clear"/>
          <w:lang w:val="pt-BR" w:eastAsia="pt-BR" w:bidi="ar-SA"/>
        </w:rPr>
        <w:t>o Contrato</w:t>
      </w:r>
      <w:r>
        <w:rPr>
          <w:rFonts w:cs="Arial" w:ascii="Verdana" w:hAnsi="Verdana"/>
          <w:b w:val="false"/>
          <w:bCs w:val="false"/>
          <w:i w:val="false"/>
          <w:iCs w:val="false"/>
          <w:color w:val="000000"/>
          <w:sz w:val="20"/>
          <w:szCs w:val="20"/>
          <w:shd w:fill="auto" w:val="clear"/>
        </w:rPr>
        <w:t>.</w:t>
      </w:r>
    </w:p>
    <w:p>
      <w:pPr>
        <w:pStyle w:val="Normal"/>
        <w:tabs>
          <w:tab w:val="clear" w:pos="708"/>
          <w:tab w:val="left" w:pos="0" w:leader="none"/>
        </w:tabs>
        <w:spacing w:lineRule="auto" w:line="240"/>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7.8.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40"/>
        <w:ind w:hanging="0" w:left="0" w:right="0"/>
        <w:jc w:val="both"/>
        <w:rPr>
          <w:rFonts w:ascii="Verdana" w:hAnsi="Verdana"/>
          <w:sz w:val="20"/>
          <w:szCs w:val="20"/>
        </w:rPr>
      </w:pPr>
      <w:r>
        <w:rPr>
          <w:rFonts w:cs="Arial" w:ascii="Verdana" w:hAnsi="Verdana"/>
          <w:b w:val="false"/>
          <w:bCs w:val="false"/>
          <w:i w:val="false"/>
          <w:iCs w:val="false"/>
          <w:color w:val="000000"/>
          <w:sz w:val="20"/>
          <w:szCs w:val="20"/>
        </w:rPr>
        <w:t>7.9. Durante a execução do Contrato, a CONTRATADA deverá:</w:t>
      </w:r>
      <w:r>
        <w:rPr>
          <w:rFonts w:ascii="Verdana" w:hAnsi="Verdana"/>
          <w:b w:val="false"/>
          <w:bCs w:val="false"/>
          <w:sz w:val="20"/>
          <w:szCs w:val="20"/>
        </w:rPr>
        <w:br/>
        <w:t>7</w:t>
      </w:r>
      <w:r>
        <w:rPr>
          <w:rFonts w:eastAsia="Times New Roman" w:cs="Arial" w:ascii="Verdana" w:hAnsi="Verdana"/>
          <w:b w:val="false"/>
          <w:bCs w:val="false"/>
          <w:i w:val="false"/>
          <w:iCs w:val="false"/>
          <w:color w:val="000000"/>
          <w:sz w:val="20"/>
          <w:szCs w:val="20"/>
        </w:rPr>
        <w:t>.9.1.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kern w:val="0"/>
          <w:sz w:val="20"/>
          <w:szCs w:val="20"/>
          <w:lang w:val="pt-BR" w:eastAsia="pt-BR" w:bidi="ar-SA"/>
        </w:rPr>
        <w:t xml:space="preserve">da secretaria requisitante </w:t>
      </w:r>
      <w:r>
        <w:rPr>
          <w:rFonts w:cs="Arial" w:ascii="Verdana" w:hAnsi="Verdana"/>
          <w:b w:val="false"/>
          <w:bCs w:val="false"/>
          <w:i w:val="false"/>
          <w:iCs w:val="false"/>
          <w:color w:val="000000"/>
          <w:sz w:val="20"/>
          <w:szCs w:val="20"/>
        </w:rPr>
        <w:t xml:space="preserve">nas quantidades e especificações </w:t>
      </w:r>
      <w:r>
        <w:rPr>
          <w:rFonts w:eastAsia="Times New Roman" w:cs="Arial" w:ascii="Verdana" w:hAnsi="Verdana"/>
          <w:b w:val="false"/>
          <w:bCs w:val="false"/>
          <w:i w:val="false"/>
          <w:iCs w:val="false"/>
          <w:color w:val="000000"/>
          <w:kern w:val="0"/>
          <w:sz w:val="20"/>
          <w:szCs w:val="20"/>
          <w:lang w:val="pt-BR" w:eastAsia="pt-BR" w:bidi="ar-SA"/>
        </w:rPr>
        <w:t>do Contrato e</w:t>
      </w:r>
      <w:r>
        <w:rPr>
          <w:rFonts w:cs="Arial" w:ascii="Verdana" w:hAnsi="Verdana"/>
          <w:b w:val="false"/>
          <w:bCs w:val="false"/>
          <w:i w:val="false"/>
          <w:iCs w:val="false"/>
          <w:color w:val="000000"/>
          <w:sz w:val="20"/>
          <w:szCs w:val="20"/>
        </w:rPr>
        <w:t xml:space="preserve"> Termo de Referência.</w:t>
      </w:r>
    </w:p>
    <w:p>
      <w:pPr>
        <w:pStyle w:val="Normal"/>
        <w:tabs>
          <w:tab w:val="clear" w:pos="708"/>
          <w:tab w:val="left" w:pos="0" w:leader="none"/>
        </w:tabs>
        <w:spacing w:lineRule="auto" w:line="240"/>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7.9.2. </w:t>
      </w:r>
      <w:r>
        <w:rPr>
          <w:rFonts w:cs="Arial" w:ascii="Verdana" w:hAnsi="Verdana"/>
          <w:b w:val="false"/>
          <w:bCs w:val="false"/>
          <w:i w:val="false"/>
          <w:iCs w:val="false"/>
          <w:color w:val="000000"/>
          <w:sz w:val="20"/>
          <w:szCs w:val="20"/>
        </w:rPr>
        <w:t>A nota fiscal deverá ser acompanhada pelas Certidões de Regularidades Fiscais.</w:t>
      </w:r>
    </w:p>
    <w:p>
      <w:pPr>
        <w:pStyle w:val="Normal"/>
        <w:tabs>
          <w:tab w:val="clear" w:pos="708"/>
          <w:tab w:val="left" w:pos="0" w:leader="none"/>
        </w:tabs>
        <w:spacing w:lineRule="auto" w:line="240"/>
        <w:ind w:hanging="0" w:left="0" w:right="0"/>
        <w:jc w:val="both"/>
        <w:rPr>
          <w:rFonts w:ascii="Verdana" w:hAnsi="Verdana"/>
          <w:b w:val="false"/>
          <w:bCs w:val="false"/>
          <w:sz w:val="20"/>
          <w:szCs w:val="20"/>
        </w:rPr>
      </w:pPr>
      <w:r>
        <w:rPr>
          <w:rFonts w:ascii="Verdana" w:hAnsi="Verdana"/>
          <w:b w:val="false"/>
          <w:bCs w:val="false"/>
          <w:sz w:val="20"/>
          <w:szCs w:val="20"/>
        </w:rPr>
      </w:r>
      <w:bookmarkStart w:id="0" w:name="art120"/>
      <w:bookmarkStart w:id="1" w:name="art1222"/>
      <w:bookmarkStart w:id="2" w:name="art122%252525252525252525252525252525252"/>
      <w:bookmarkStart w:id="3" w:name="art122%252525252525252525252525252525251"/>
      <w:bookmarkStart w:id="4" w:name="art122%252525252525252525252525252525253"/>
      <w:bookmarkStart w:id="5" w:name="_GoBack2"/>
      <w:bookmarkStart w:id="6" w:name="art121"/>
      <w:bookmarkStart w:id="7" w:name="art1232"/>
      <w:bookmarkStart w:id="8" w:name="art120"/>
      <w:bookmarkStart w:id="9" w:name="art1222"/>
      <w:bookmarkStart w:id="10" w:name="art122%252525252525252525252525252525252"/>
      <w:bookmarkStart w:id="11" w:name="art122%252525252525252525252525252525251"/>
      <w:bookmarkStart w:id="12" w:name="art122%252525252525252525252525252525253"/>
      <w:bookmarkStart w:id="13" w:name="_GoBack2"/>
      <w:bookmarkStart w:id="14" w:name="art121"/>
      <w:bookmarkStart w:id="15" w:name="art1232"/>
      <w:bookmarkEnd w:id="8"/>
      <w:bookmarkEnd w:id="9"/>
      <w:bookmarkEnd w:id="10"/>
      <w:bookmarkEnd w:id="11"/>
      <w:bookmarkEnd w:id="12"/>
      <w:bookmarkEnd w:id="13"/>
      <w:bookmarkEnd w:id="14"/>
      <w:bookmarkEnd w:id="15"/>
    </w:p>
    <w:p>
      <w:pPr>
        <w:pStyle w:val="Normal"/>
        <w:spacing w:lineRule="auto" w:line="240"/>
        <w:ind w:hanging="0" w:left="0" w:right="0"/>
        <w:jc w:val="both"/>
        <w:rPr>
          <w:rFonts w:ascii="Verdana" w:hAnsi="Verdana"/>
          <w:sz w:val="20"/>
          <w:szCs w:val="20"/>
        </w:rPr>
      </w:pPr>
      <w:r>
        <w:rPr>
          <w:rFonts w:ascii="Verdana" w:hAnsi="Verdana"/>
          <w:b/>
          <w:bCs/>
          <w:sz w:val="20"/>
          <w:szCs w:val="20"/>
        </w:rPr>
        <w:t>8. CRITÉRIOS DE PAGAMENTO</w:t>
      </w:r>
    </w:p>
    <w:p>
      <w:pPr>
        <w:pStyle w:val="Normal"/>
        <w:spacing w:lineRule="auto" w:line="240"/>
        <w:ind w:hanging="0" w:left="0" w:right="0"/>
        <w:jc w:val="both"/>
        <w:rPr>
          <w:rFonts w:ascii="Verdana" w:hAnsi="Verdana"/>
          <w:sz w:val="20"/>
          <w:szCs w:val="20"/>
        </w:rPr>
      </w:pPr>
      <w:r>
        <w:rPr>
          <w:rFonts w:eastAsia="Arial" w:ascii="Verdana" w:hAnsi="Verdana"/>
          <w:bCs/>
          <w:sz w:val="20"/>
          <w:szCs w:val="20"/>
        </w:rPr>
        <w:t>8.1. O pagamento será efetuado em parcela única (ou conforme medição de etapas concluídas), mediante apresentação de Nota Fiscal Eletrônica, acompanhada da Medição aprovada pelo Fiscal Técnico/Engenheiro e documentos de regularidade fiscal.</w:t>
      </w:r>
    </w:p>
    <w:p>
      <w:pPr>
        <w:pStyle w:val="Normal"/>
        <w:spacing w:lineRule="auto" w:line="240"/>
        <w:jc w:val="both"/>
        <w:rPr>
          <w:rFonts w:ascii="Verdana" w:hAnsi="Verdana"/>
          <w:sz w:val="20"/>
          <w:szCs w:val="20"/>
        </w:rPr>
      </w:pPr>
      <w:r>
        <w:rPr>
          <w:rFonts w:eastAsia="Arial" w:ascii="Verdana" w:hAnsi="Verdana"/>
          <w:bCs/>
          <w:sz w:val="20"/>
          <w:szCs w:val="20"/>
        </w:rPr>
        <w:t>8.2. Havendo erros ou inconsistências na documentação ou na execução do serviço, a nota será devolvida para correção, ficando o prazo de pagamento suspenso até a regularização.</w:t>
      </w:r>
    </w:p>
    <w:p>
      <w:pPr>
        <w:pStyle w:val="Normal"/>
        <w:spacing w:lineRule="auto" w:line="240"/>
        <w:jc w:val="both"/>
        <w:rPr>
          <w:rFonts w:ascii="Verdana" w:hAnsi="Verdana"/>
          <w:sz w:val="20"/>
          <w:szCs w:val="20"/>
        </w:rPr>
      </w:pPr>
      <w:r>
        <w:rPr>
          <w:rFonts w:eastAsia="Arial" w:ascii="Verdana" w:hAnsi="Verdana"/>
          <w:bCs/>
          <w:sz w:val="20"/>
          <w:szCs w:val="20"/>
        </w:rPr>
        <w:t>8.3. A Nota Fiscal deverá conter a descrição clara do objeto e a unidade escolar beneficiada.</w:t>
      </w:r>
    </w:p>
    <w:p>
      <w:pPr>
        <w:pStyle w:val="Normal"/>
        <w:spacing w:lineRule="auto" w:line="240"/>
        <w:jc w:val="both"/>
        <w:rPr>
          <w:rFonts w:ascii="Verdana" w:hAnsi="Verdana"/>
          <w:sz w:val="20"/>
          <w:szCs w:val="20"/>
        </w:rPr>
      </w:pPr>
      <w:r>
        <w:rPr>
          <w:rFonts w:eastAsia="Arial" w:ascii="Verdana" w:hAnsi="Verdana"/>
          <w:bCs/>
          <w:sz w:val="20"/>
          <w:szCs w:val="20"/>
        </w:rPr>
        <w:t>8.4. Deverão ser apresentados, juntamente com a Nota Fiscal:</w:t>
      </w:r>
    </w:p>
    <w:p>
      <w:pPr>
        <w:pStyle w:val="Normal"/>
        <w:numPr>
          <w:ilvl w:val="0"/>
          <w:numId w:val="2"/>
        </w:numPr>
        <w:spacing w:lineRule="auto" w:line="240"/>
        <w:jc w:val="both"/>
        <w:rPr>
          <w:rFonts w:ascii="Verdana" w:hAnsi="Verdana"/>
          <w:sz w:val="20"/>
          <w:szCs w:val="20"/>
        </w:rPr>
      </w:pPr>
      <w:r>
        <w:rPr>
          <w:rFonts w:eastAsia="Arial" w:ascii="Verdana" w:hAnsi="Verdana"/>
          <w:bCs/>
          <w:sz w:val="20"/>
          <w:szCs w:val="20"/>
        </w:rPr>
        <w:t>O Relatório Fotográfico final;</w:t>
      </w:r>
    </w:p>
    <w:p>
      <w:pPr>
        <w:pStyle w:val="Normal"/>
        <w:numPr>
          <w:ilvl w:val="0"/>
          <w:numId w:val="2"/>
        </w:numPr>
        <w:spacing w:lineRule="auto" w:line="240"/>
        <w:jc w:val="both"/>
        <w:rPr>
          <w:rFonts w:ascii="Verdana" w:hAnsi="Verdana"/>
          <w:sz w:val="20"/>
          <w:szCs w:val="20"/>
        </w:rPr>
      </w:pPr>
      <w:r>
        <w:rPr>
          <w:rFonts w:eastAsia="Arial" w:ascii="Verdana" w:hAnsi="Verdana"/>
          <w:bCs/>
          <w:sz w:val="20"/>
          <w:szCs w:val="20"/>
        </w:rPr>
        <w:t>O Laudo de Teste de Estanqueidade do telhado;</w:t>
      </w:r>
    </w:p>
    <w:p>
      <w:pPr>
        <w:pStyle w:val="Normal"/>
        <w:numPr>
          <w:ilvl w:val="0"/>
          <w:numId w:val="2"/>
        </w:numPr>
        <w:spacing w:lineRule="auto" w:line="240"/>
        <w:jc w:val="both"/>
        <w:rPr>
          <w:rFonts w:ascii="Verdana" w:hAnsi="Verdana"/>
          <w:sz w:val="20"/>
          <w:szCs w:val="20"/>
        </w:rPr>
      </w:pPr>
      <w:r>
        <w:rPr>
          <w:rFonts w:eastAsia="Arial" w:ascii="Verdana" w:hAnsi="Verdana"/>
          <w:b w:val="false"/>
          <w:bCs/>
          <w:color w:val="000000"/>
          <w:sz w:val="20"/>
          <w:szCs w:val="20"/>
          <w:u w:val="none"/>
          <w:lang w:eastAsia="en-US"/>
        </w:rPr>
        <w:t>O Termo de Garantia da obra.</w:t>
      </w:r>
    </w:p>
    <w:p>
      <w:pPr>
        <w:pStyle w:val="Normal"/>
        <w:spacing w:lineRule="auto" w:line="240"/>
        <w:ind w:hanging="0" w:left="-22" w:right="0"/>
        <w:jc w:val="both"/>
        <w:rPr>
          <w:rFonts w:ascii="Verdana" w:hAnsi="Verdana"/>
          <w:sz w:val="20"/>
          <w:szCs w:val="20"/>
        </w:rPr>
      </w:pPr>
      <w:r>
        <w:rPr>
          <w:rFonts w:ascii="Verdana" w:hAnsi="Verdana"/>
          <w:b w:val="false"/>
          <w:bCs w:val="false"/>
          <w:sz w:val="20"/>
          <w:szCs w:val="20"/>
        </w:rPr>
        <w:t xml:space="preserve">8.5.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O prazo de validade;</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xml:space="preserve">- A data da emissão; </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xml:space="preserve">- Os dados do contrato e do órgão contratante; </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xml:space="preserve">- O período respectivo de execução do contrato; </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xml:space="preserve">- O valor a pagar; e </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Eventual destaque do valor de retenções tributárias cabíveis.</w:t>
      </w:r>
    </w:p>
    <w:p>
      <w:pPr>
        <w:pStyle w:val="Normal"/>
        <w:tabs>
          <w:tab w:val="clear" w:pos="708"/>
          <w:tab w:val="left" w:pos="563" w:leader="none"/>
        </w:tabs>
        <w:spacing w:lineRule="auto" w:line="240"/>
        <w:ind w:hanging="0" w:left="-22" w:right="0"/>
        <w:jc w:val="both"/>
        <w:rPr>
          <w:rFonts w:ascii="Verdana" w:hAnsi="Verdana"/>
          <w:sz w:val="20"/>
          <w:szCs w:val="20"/>
        </w:rPr>
      </w:pPr>
      <w:r>
        <w:rPr>
          <w:rFonts w:ascii="Verdana" w:hAnsi="Verdana"/>
          <w:b w:val="false"/>
          <w:bCs w:val="false"/>
          <w:sz w:val="20"/>
          <w:szCs w:val="20"/>
        </w:rPr>
        <w:t>8.6.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hanging="0" w:left="-22" w:right="0"/>
        <w:jc w:val="both"/>
        <w:rPr/>
      </w:pPr>
      <w:r>
        <w:rPr>
          <w:rFonts w:ascii="Verdana" w:hAnsi="Verdana"/>
          <w:b w:val="false"/>
          <w:bCs w:val="false"/>
          <w:sz w:val="20"/>
          <w:szCs w:val="20"/>
        </w:rPr>
        <w:t>8.7. A</w:t>
      </w:r>
      <w:r>
        <w:rPr>
          <w:rFonts w:ascii="Verdana" w:hAnsi="Verdana"/>
          <w:b w:val="false"/>
          <w:bCs w:val="false"/>
          <w:sz w:val="20"/>
          <w:szCs w:val="20"/>
          <w:lang w:eastAsia="en-US"/>
        </w:rPr>
        <w:t xml:space="preserve"> nota fiscal ou instrumento de cobrança equivalente deverá ser obrigatoriamente acompanhado da comprovação da regularidade fiscal</w:t>
      </w:r>
      <w:r>
        <w:rPr>
          <w:rStyle w:val="Hyperlink"/>
          <w:rFonts w:ascii="Verdana" w:hAnsi="Verdana"/>
          <w:b w:val="false"/>
          <w:bCs w:val="false"/>
          <w:sz w:val="20"/>
          <w:szCs w:val="20"/>
          <w:lang w:eastAsia="en-US"/>
        </w:rPr>
        <w:t>.</w:t>
      </w:r>
    </w:p>
    <w:p>
      <w:pPr>
        <w:pStyle w:val="Normal"/>
        <w:spacing w:lineRule="auto" w:line="240"/>
        <w:ind w:hanging="0" w:left="-22" w:right="0"/>
        <w:jc w:val="both"/>
        <w:rPr>
          <w:rFonts w:ascii="Verdana" w:hAnsi="Verdana"/>
          <w:sz w:val="20"/>
          <w:szCs w:val="20"/>
        </w:rPr>
      </w:pPr>
      <w:r>
        <w:rPr>
          <w:rFonts w:ascii="Verdana" w:hAnsi="Verdana"/>
          <w:b w:val="false"/>
          <w:bCs w:val="false"/>
          <w:sz w:val="20"/>
          <w:szCs w:val="20"/>
        </w:rPr>
        <w:t>8.8. O pagamento será efetuado no prazo de até 30 (trinta) dias úteis contados da finalização da liquidação da despesa.</w:t>
      </w:r>
    </w:p>
    <w:p>
      <w:pPr>
        <w:pStyle w:val="Normal"/>
        <w:spacing w:lineRule="auto" w:line="240"/>
        <w:ind w:hanging="0" w:left="-22" w:right="0"/>
        <w:jc w:val="both"/>
        <w:rPr>
          <w:rFonts w:ascii="Verdana" w:hAnsi="Verdana"/>
          <w:sz w:val="20"/>
          <w:szCs w:val="20"/>
        </w:rPr>
      </w:pPr>
      <w:r>
        <w:rPr>
          <w:rFonts w:ascii="Verdana" w:hAnsi="Verdana"/>
          <w:b w:val="false"/>
          <w:bCs w:val="false"/>
          <w:sz w:val="20"/>
          <w:szCs w:val="20"/>
        </w:rPr>
        <w:t>8.9. O pagamento será realizado por meio de ordem bancária, para crédito em banco, agência e conta corrente indicados pelo contratado.</w:t>
      </w:r>
    </w:p>
    <w:p>
      <w:pPr>
        <w:pStyle w:val="Normal"/>
        <w:spacing w:lineRule="auto" w:line="240"/>
        <w:ind w:hanging="0" w:left="-22" w:right="0"/>
        <w:jc w:val="both"/>
        <w:rPr>
          <w:rFonts w:ascii="Verdana" w:hAnsi="Verdana"/>
          <w:sz w:val="20"/>
          <w:szCs w:val="20"/>
        </w:rPr>
      </w:pPr>
      <w:r>
        <w:rPr>
          <w:rFonts w:ascii="Verdana" w:hAnsi="Verdana"/>
          <w:b w:val="false"/>
          <w:bCs w:val="false"/>
          <w:sz w:val="20"/>
          <w:szCs w:val="20"/>
        </w:rPr>
        <w:t>8.10. Será considerada data do pagamento o dia em que constar como emitida a ordem bancária para pagamento.</w:t>
      </w:r>
    </w:p>
    <w:p>
      <w:pPr>
        <w:pStyle w:val="Normal"/>
        <w:spacing w:lineRule="auto" w:line="240"/>
        <w:ind w:hanging="0" w:left="-79" w:right="0"/>
        <w:jc w:val="both"/>
        <w:rPr>
          <w:rFonts w:ascii="Verdana" w:hAnsi="Verdana"/>
          <w:sz w:val="20"/>
          <w:szCs w:val="20"/>
        </w:rPr>
      </w:pPr>
      <w:r>
        <w:rPr>
          <w:rFonts w:ascii="Verdana" w:hAnsi="Verdana"/>
          <w:b w:val="false"/>
          <w:bCs w:val="false"/>
          <w:sz w:val="20"/>
          <w:szCs w:val="20"/>
        </w:rPr>
        <w:t>8.11. Quando do pagamento, será efetuada a retenção tributária prevista na legislação aplicável.</w:t>
      </w:r>
    </w:p>
    <w:p>
      <w:pPr>
        <w:pStyle w:val="Normal"/>
        <w:spacing w:lineRule="auto" w:line="240"/>
        <w:ind w:hanging="0" w:left="-79" w:right="0"/>
        <w:jc w:val="both"/>
        <w:rPr/>
      </w:pPr>
      <w:r>
        <w:rPr>
          <w:rFonts w:ascii="Verdana" w:hAnsi="Verdana"/>
          <w:b w:val="false"/>
          <w:bCs w:val="false"/>
          <w:sz w:val="20"/>
          <w:szCs w:val="20"/>
          <w:lang w:eastAsia="en-US"/>
        </w:rPr>
        <w:t xml:space="preserve">8.12. O contratado regularmente optante pelo Simples Nacional, nos termos da </w:t>
      </w:r>
      <w:hyperlink r:id="rId2">
        <w:r>
          <w:rPr>
            <w:rStyle w:val="ListLabel91"/>
            <w:rFonts w:ascii="Verdana" w:hAnsi="Verdana"/>
            <w:b w:val="false"/>
            <w:bCs w:val="false"/>
            <w:sz w:val="20"/>
            <w:szCs w:val="20"/>
            <w:u w:val="none"/>
            <w:lang w:eastAsia="en-US"/>
          </w:rPr>
          <w:t>Lei Complementar nº 123, de 2006</w:t>
        </w:r>
      </w:hyperlink>
      <w:r>
        <w:rPr>
          <w:rFonts w:ascii="Verdana" w:hAnsi="Verdana"/>
          <w:b w:val="false"/>
          <w:b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hanging="0" w:left="-79" w:right="0"/>
        <w:jc w:val="both"/>
        <w:rPr>
          <w:rFonts w:ascii="Verdana" w:hAnsi="Verdana"/>
          <w:sz w:val="20"/>
          <w:szCs w:val="20"/>
        </w:rPr>
      </w:pPr>
      <w:r>
        <w:rPr>
          <w:rFonts w:ascii="Verdana" w:hAnsi="Verdana"/>
          <w:b w:val="false"/>
          <w:bCs w:val="false"/>
          <w:sz w:val="20"/>
          <w:szCs w:val="20"/>
          <w:lang w:eastAsia="en-US"/>
        </w:rPr>
        <w:t>8.13.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ind w:hanging="0" w:left="-79" w:right="0"/>
        <w:jc w:val="both"/>
        <w:rPr>
          <w:rFonts w:ascii="Verdana" w:hAnsi="Verdana"/>
          <w:sz w:val="20"/>
          <w:szCs w:val="20"/>
        </w:rPr>
      </w:pPr>
      <w:r>
        <w:rPr>
          <w:rFonts w:eastAsia="Calibri" w:cs="Calibri" w:ascii="Verdana" w:hAnsi="Verdana"/>
          <w:b w:val="false"/>
          <w:bCs w:val="false"/>
          <w:color w:val="000000"/>
          <w:kern w:val="0"/>
          <w:sz w:val="20"/>
          <w:szCs w:val="20"/>
          <w:shd w:fill="auto" w:val="clear"/>
          <w:lang w:val="pt-BR" w:eastAsia="pt-BR" w:bidi="ar-SA"/>
        </w:rPr>
        <w:t xml:space="preserve">8.14. </w:t>
      </w:r>
      <w:r>
        <w:rPr>
          <w:rFonts w:ascii="Verdana" w:hAnsi="Verdana"/>
          <w:b w:val="false"/>
          <w:bCs w:val="false"/>
          <w:sz w:val="20"/>
          <w:szCs w:val="20"/>
          <w:shd w:fill="auto" w:val="clear"/>
        </w:rPr>
        <w:t xml:space="preserve"> Após o prazo acima referenciado, será paga multa financeira nos seguintes termos:</w:t>
      </w:r>
    </w:p>
    <w:p>
      <w:pPr>
        <w:pStyle w:val="PargrafodaLista"/>
        <w:tabs>
          <w:tab w:val="clear" w:pos="708"/>
          <w:tab w:val="left" w:pos="518" w:leader="none"/>
        </w:tabs>
        <w:spacing w:lineRule="auto" w:line="240"/>
        <w:ind w:hanging="0" w:left="0" w:right="0"/>
        <w:jc w:val="center"/>
        <w:rPr>
          <w:rFonts w:ascii="Verdana" w:hAnsi="Verdana"/>
          <w:sz w:val="20"/>
          <w:szCs w:val="20"/>
        </w:rPr>
      </w:pPr>
      <w:r>
        <w:rPr>
          <w:rFonts w:cs="Verdana" w:ascii="Verdana" w:hAnsi="Verdana"/>
          <w:b w:val="false"/>
          <w:bCs w:val="false"/>
          <w:sz w:val="20"/>
          <w:szCs w:val="20"/>
          <w:shd w:fill="auto" w:val="clear"/>
        </w:rPr>
        <w:t xml:space="preserve">VM = VF </w:t>
      </w:r>
      <w:r>
        <w:rPr>
          <w:rFonts w:cs="Verdana" w:ascii="Verdana" w:hAnsi="Verdana"/>
          <w:b w:val="false"/>
          <w:bCs w:val="false"/>
          <w:sz w:val="20"/>
          <w:szCs w:val="20"/>
          <w:shd w:fill="auto" w:val="clear"/>
          <w:vertAlign w:val="subscript"/>
        </w:rPr>
        <w:t>*</w:t>
      </w:r>
      <w:r>
        <w:rPr>
          <w:rFonts w:cs="Verdana" w:ascii="Verdana" w:hAnsi="Verdana"/>
          <w:b w:val="false"/>
          <w:bCs w:val="false"/>
          <w:sz w:val="20"/>
          <w:szCs w:val="20"/>
          <w:shd w:fill="auto" w:val="clear"/>
        </w:rPr>
        <w:t xml:space="preserve"> </w:t>
      </w:r>
      <w:r>
        <w:rPr>
          <w:rFonts w:cs="Verdana" w:ascii="Verdana" w:hAnsi="Verdana"/>
          <w:b w:val="false"/>
          <w:bCs w:val="false"/>
          <w:sz w:val="20"/>
          <w:szCs w:val="20"/>
          <w:u w:val="single"/>
          <w:shd w:fill="auto" w:val="clear"/>
        </w:rPr>
        <w:t>0,33</w:t>
      </w:r>
      <w:r>
        <w:rPr>
          <w:rFonts w:cs="Verdana" w:ascii="Verdana" w:hAnsi="Verdana"/>
          <w:b w:val="false"/>
          <w:bCs w:val="false"/>
          <w:sz w:val="20"/>
          <w:szCs w:val="20"/>
          <w:shd w:fill="auto" w:val="clear"/>
        </w:rPr>
        <w:t xml:space="preserve"> </w:t>
      </w:r>
      <w:r>
        <w:rPr>
          <w:rFonts w:cs="Verdana" w:ascii="Verdana" w:hAnsi="Verdana"/>
          <w:b w:val="false"/>
          <w:bCs w:val="false"/>
          <w:sz w:val="20"/>
          <w:szCs w:val="20"/>
          <w:shd w:fill="auto" w:val="clear"/>
          <w:vertAlign w:val="subscript"/>
        </w:rPr>
        <w:t>*</w:t>
      </w:r>
      <w:r>
        <w:rPr>
          <w:rFonts w:cs="Verdana" w:ascii="Verdana" w:hAnsi="Verdana"/>
          <w:b w:val="false"/>
          <w:bCs w:val="false"/>
          <w:sz w:val="20"/>
          <w:szCs w:val="20"/>
          <w:shd w:fill="auto" w:val="clear"/>
        </w:rPr>
        <w:t xml:space="preserve"> ND</w:t>
      </w:r>
    </w:p>
    <w:p>
      <w:pPr>
        <w:pStyle w:val="PargrafodaLista"/>
        <w:tabs>
          <w:tab w:val="clear" w:pos="708"/>
          <w:tab w:val="left" w:pos="518" w:leader="none"/>
        </w:tabs>
        <w:spacing w:lineRule="auto" w:line="240"/>
        <w:ind w:hanging="0" w:left="0" w:right="0"/>
        <w:jc w:val="center"/>
        <w:rPr>
          <w:rFonts w:ascii="Verdana" w:hAnsi="Verdana"/>
          <w:sz w:val="20"/>
          <w:szCs w:val="20"/>
        </w:rPr>
      </w:pPr>
      <w:r>
        <w:rPr>
          <w:rFonts w:eastAsia="Verdana" w:cs="Verdana" w:ascii="Verdana" w:hAnsi="Verdana"/>
          <w:b w:val="false"/>
          <w:bCs w:val="false"/>
          <w:sz w:val="20"/>
          <w:szCs w:val="20"/>
          <w:shd w:fill="auto" w:val="clear"/>
        </w:rPr>
        <w:t xml:space="preserve">        </w:t>
      </w:r>
      <w:r>
        <w:rPr>
          <w:rFonts w:cs="Verdana" w:ascii="Verdana" w:hAnsi="Verdana"/>
          <w:b w:val="false"/>
          <w:bCs w:val="false"/>
          <w:sz w:val="20"/>
          <w:szCs w:val="20"/>
          <w:shd w:fill="auto" w:val="clear"/>
        </w:rPr>
        <w:t>100</w:t>
      </w:r>
    </w:p>
    <w:p>
      <w:pPr>
        <w:pStyle w:val="Normal"/>
        <w:suppressAutoHyphens w:val="false"/>
        <w:spacing w:lineRule="auto" w:line="240"/>
        <w:rPr>
          <w:rFonts w:ascii="Verdana" w:hAnsi="Verdana"/>
          <w:sz w:val="20"/>
          <w:szCs w:val="20"/>
        </w:rPr>
      </w:pPr>
      <w:r>
        <w:rPr>
          <w:rFonts w:cs="Arial;Arial" w:ascii="Verdana" w:hAnsi="Verdana"/>
          <w:b w:val="false"/>
          <w:bCs w:val="false"/>
          <w:color w:val="000000"/>
          <w:sz w:val="20"/>
          <w:szCs w:val="20"/>
          <w:shd w:fill="auto" w:val="clear"/>
        </w:rPr>
        <w:t xml:space="preserve">Onde: </w:t>
      </w:r>
    </w:p>
    <w:p>
      <w:pPr>
        <w:pStyle w:val="Normal"/>
        <w:suppressAutoHyphens w:val="false"/>
        <w:spacing w:lineRule="auto" w:line="240"/>
        <w:rPr>
          <w:rFonts w:ascii="Verdana" w:hAnsi="Verdana"/>
          <w:sz w:val="20"/>
          <w:szCs w:val="20"/>
        </w:rPr>
      </w:pPr>
      <w:r>
        <w:rPr>
          <w:rFonts w:cs="Arial;Arial" w:ascii="Verdana" w:hAnsi="Verdana"/>
          <w:color w:val="000000"/>
          <w:sz w:val="20"/>
          <w:szCs w:val="20"/>
          <w:shd w:fill="auto" w:val="clear"/>
        </w:rPr>
        <w:t xml:space="preserve">VM = Valor da Multa Financeira; </w:t>
      </w:r>
    </w:p>
    <w:p>
      <w:pPr>
        <w:pStyle w:val="Normal"/>
        <w:suppressAutoHyphens w:val="false"/>
        <w:spacing w:lineRule="auto" w:line="240"/>
        <w:rPr>
          <w:rFonts w:ascii="Verdana" w:hAnsi="Verdana"/>
          <w:sz w:val="20"/>
          <w:szCs w:val="20"/>
        </w:rPr>
      </w:pPr>
      <w:r>
        <w:rPr>
          <w:rFonts w:cs="Arial;Arial" w:ascii="Verdana" w:hAnsi="Verdana"/>
          <w:color w:val="000000"/>
          <w:sz w:val="20"/>
          <w:szCs w:val="20"/>
          <w:shd w:fill="auto" w:val="clear"/>
        </w:rPr>
        <w:t xml:space="preserve">VF = Valor da Nota Fiscal; </w:t>
      </w:r>
    </w:p>
    <w:p>
      <w:pPr>
        <w:pStyle w:val="PargrafodaLista"/>
        <w:tabs>
          <w:tab w:val="clear" w:pos="708"/>
          <w:tab w:val="left" w:pos="518" w:leader="none"/>
        </w:tabs>
        <w:spacing w:lineRule="auto" w:line="240"/>
        <w:ind w:hanging="0" w:left="0" w:right="0"/>
        <w:rPr>
          <w:rFonts w:ascii="Verdana" w:hAnsi="Verdana"/>
          <w:sz w:val="20"/>
          <w:szCs w:val="20"/>
        </w:rPr>
      </w:pPr>
      <w:r>
        <w:rPr>
          <w:rFonts w:eastAsia="Times New Roman" w:cs="Arial;Arial" w:ascii="Verdana" w:hAnsi="Verdana"/>
          <w:color w:val="000000"/>
          <w:sz w:val="20"/>
          <w:szCs w:val="20"/>
          <w:shd w:fill="auto" w:val="clear"/>
        </w:rPr>
        <w:t>ND = Número de dias em atraso.</w:t>
      </w:r>
    </w:p>
    <w:p>
      <w:pPr>
        <w:pStyle w:val="PargrafodaLista"/>
        <w:tabs>
          <w:tab w:val="clear" w:pos="708"/>
          <w:tab w:val="left" w:pos="518" w:leader="none"/>
        </w:tabs>
        <w:spacing w:lineRule="auto" w:line="240"/>
        <w:ind w:hanging="0" w:left="0" w:right="0"/>
        <w:rPr>
          <w:rFonts w:ascii="Verdana" w:hAnsi="Verdana"/>
          <w:sz w:val="20"/>
          <w:szCs w:val="20"/>
        </w:rPr>
      </w:pPr>
      <w:r>
        <w:rPr>
          <w:rFonts w:eastAsia="Times New Roman" w:cs="Arial;Arial" w:ascii="Verdana" w:hAnsi="Verdana"/>
          <w:b w:val="false"/>
          <w:bCs w:val="false"/>
          <w:color w:val="000000"/>
          <w:kern w:val="0"/>
          <w:sz w:val="20"/>
          <w:szCs w:val="20"/>
          <w:shd w:fill="auto" w:val="clear"/>
          <w:lang w:val="pt-BR" w:eastAsia="pt-BR" w:bidi="ar-SA"/>
        </w:rPr>
        <w:t xml:space="preserve">8.15.. </w:t>
      </w:r>
      <w:r>
        <w:rPr>
          <w:rFonts w:cs="Arial;Arial" w:ascii="Verdana" w:hAnsi="Verdana"/>
          <w:b w:val="false"/>
          <w:bCs w:val="false"/>
          <w:color w:val="000000"/>
          <w:sz w:val="20"/>
          <w:szCs w:val="20"/>
          <w:shd w:fill="auto" w:val="clear"/>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240"/>
        <w:ind w:hanging="0" w:left="0" w:right="0"/>
        <w:rPr>
          <w:rFonts w:ascii="Verdana" w:hAnsi="Verdana"/>
          <w:sz w:val="20"/>
          <w:szCs w:val="20"/>
        </w:rPr>
      </w:pPr>
      <w:r>
        <w:rPr>
          <w:rFonts w:eastAsia="Times New Roman" w:cs="Arial;Arial" w:ascii="Verdana" w:hAnsi="Verdana"/>
          <w:b w:val="false"/>
          <w:bCs w:val="false"/>
          <w:color w:val="000000"/>
          <w:kern w:val="0"/>
          <w:sz w:val="20"/>
          <w:szCs w:val="20"/>
          <w:shd w:fill="auto" w:val="clear"/>
          <w:lang w:val="pt-BR" w:eastAsia="pt-BR" w:bidi="ar-SA"/>
        </w:rPr>
        <w:t>8.16.</w:t>
      </w:r>
      <w:r>
        <w:rPr>
          <w:rFonts w:cs="Arial;Arial" w:ascii="Verdana" w:hAnsi="Verdana"/>
          <w:b w:val="false"/>
          <w:bCs w:val="false"/>
          <w:color w:val="000000"/>
          <w:sz w:val="20"/>
          <w:szCs w:val="20"/>
          <w:shd w:fill="auto" w:val="clear"/>
        </w:rPr>
        <w:t xml:space="preserve"> Qualquer alteração feita no contrato social, ato constitutivo ou estatuto deverá ser comunicado ao CONTRATANTE, mediante documentação própria, para apreciação da autoridade competente. </w:t>
      </w:r>
    </w:p>
    <w:p>
      <w:pPr>
        <w:pStyle w:val="PargrafodaLista"/>
        <w:tabs>
          <w:tab w:val="clear" w:pos="708"/>
          <w:tab w:val="left" w:pos="518" w:leader="none"/>
        </w:tabs>
        <w:spacing w:lineRule="auto" w:line="240"/>
        <w:ind w:hanging="0" w:left="0" w:right="0"/>
        <w:rPr>
          <w:rFonts w:ascii="Verdana" w:hAnsi="Verdana"/>
          <w:sz w:val="20"/>
          <w:szCs w:val="20"/>
        </w:rPr>
      </w:pPr>
      <w:r>
        <w:rPr>
          <w:rFonts w:eastAsia="Times New Roman" w:cs="Arial;Arial" w:ascii="Verdana" w:hAnsi="Verdana"/>
          <w:b w:val="false"/>
          <w:bCs w:val="false"/>
          <w:color w:val="000000"/>
          <w:kern w:val="0"/>
          <w:sz w:val="20"/>
          <w:szCs w:val="20"/>
          <w:shd w:fill="auto" w:val="clear"/>
          <w:lang w:val="pt-BR" w:eastAsia="pt-BR" w:bidi="ar-SA"/>
        </w:rPr>
        <w:t xml:space="preserve">8.17. </w:t>
      </w:r>
      <w:r>
        <w:rPr>
          <w:rFonts w:cs="Arial;Arial" w:ascii="Verdana" w:hAnsi="Verdana"/>
          <w:b w:val="false"/>
          <w:bCs w:val="false"/>
          <w:color w:val="000000"/>
          <w:sz w:val="20"/>
          <w:szCs w:val="20"/>
          <w:shd w:fill="auto" w:val="clear"/>
        </w:rPr>
        <w:t>O CONTRATANTE poderá deduzir do pagamento importâncias que a qualquer título lhe forem devidos pela empresa CONTRATADA, em decorrência de descumprimento de s</w:t>
      </w:r>
      <w:r>
        <w:rPr>
          <w:rFonts w:cs="Arial;Arial" w:ascii="Verdana" w:hAnsi="Verdana"/>
          <w:color w:val="000000"/>
          <w:sz w:val="20"/>
          <w:szCs w:val="20"/>
          <w:shd w:fill="auto" w:val="clear"/>
        </w:rPr>
        <w:t>uas obrigações.</w:t>
      </w:r>
    </w:p>
    <w:p>
      <w:pPr>
        <w:pStyle w:val="PargrafodaLista"/>
        <w:tabs>
          <w:tab w:val="clear" w:pos="708"/>
          <w:tab w:val="left" w:pos="518" w:leader="none"/>
        </w:tabs>
        <w:spacing w:lineRule="auto" w:line="240" w:before="0" w:after="29"/>
        <w:ind w:hanging="0" w:left="0" w:right="0"/>
        <w:contextualSpacing/>
        <w:rPr>
          <w:rFonts w:ascii="Verdana" w:hAnsi="Verdana"/>
          <w:sz w:val="20"/>
          <w:szCs w:val="20"/>
        </w:rPr>
      </w:pPr>
      <w:r>
        <w:rPr>
          <w:rFonts w:eastAsia="Times New Roman" w:cs="Arial;Arial" w:ascii="Verdana" w:hAnsi="Verdana"/>
          <w:b w:val="false"/>
          <w:bCs w:val="false"/>
          <w:color w:val="000000"/>
          <w:kern w:val="0"/>
          <w:sz w:val="20"/>
          <w:szCs w:val="20"/>
          <w:shd w:fill="auto" w:val="clear"/>
          <w:lang w:val="pt-BR" w:eastAsia="zh-CN" w:bidi="ar-SA"/>
        </w:rPr>
        <w:t>8.18.</w:t>
      </w:r>
      <w:r>
        <w:rPr>
          <w:rFonts w:eastAsia="Times New Roman" w:cs="Arial;Arial" w:ascii="Verdana" w:hAnsi="Verdana"/>
          <w:color w:val="000000"/>
          <w:kern w:val="0"/>
          <w:sz w:val="20"/>
          <w:szCs w:val="20"/>
          <w:shd w:fill="auto" w:val="clear"/>
          <w:lang w:val="pt-BR" w:eastAsia="zh-CN" w:bidi="ar-SA"/>
        </w:rPr>
        <w:t xml:space="preserve"> </w:t>
      </w:r>
      <w:r>
        <w:rPr>
          <w:rFonts w:cs="Arial;Arial" w:ascii="Verdana" w:hAnsi="Verdana"/>
          <w:sz w:val="20"/>
          <w:szCs w:val="20"/>
          <w:shd w:fill="auto" w:val="clear"/>
          <w:lang w:eastAsia="en-US"/>
        </w:rPr>
        <w:t xml:space="preserve">Para a efetivação do pagamento, a CONTRATADA deverá manter as mesmas </w:t>
      </w:r>
      <w:r>
        <w:rPr>
          <w:rFonts w:cs="Arial;Arial" w:ascii="Verdana" w:hAnsi="Verdana"/>
          <w:sz w:val="20"/>
          <w:szCs w:val="20"/>
          <w:shd w:fill="auto" w:val="clear"/>
          <w:lang w:eastAsia="pt-BR"/>
        </w:rPr>
        <w:t>condições relativas à proposta de preço e a habilitação;</w:t>
      </w:r>
    </w:p>
    <w:p>
      <w:pPr>
        <w:pStyle w:val="Default"/>
        <w:spacing w:lineRule="auto" w:line="240"/>
        <w:ind w:hanging="0" w:left="-22" w:right="0"/>
        <w:jc w:val="both"/>
        <w:rPr>
          <w:rFonts w:ascii="Verdana" w:hAnsi="Verdana"/>
          <w:b/>
          <w:bCs/>
          <w:sz w:val="20"/>
          <w:szCs w:val="20"/>
        </w:rPr>
      </w:pPr>
      <w:r>
        <w:rPr>
          <w:rFonts w:ascii="Verdana" w:hAnsi="Verdana"/>
          <w:b/>
          <w:bCs/>
          <w:sz w:val="20"/>
          <w:szCs w:val="20"/>
        </w:rPr>
      </w:r>
    </w:p>
    <w:p>
      <w:pPr>
        <w:pStyle w:val="Normal"/>
        <w:spacing w:lineRule="auto" w:line="240"/>
        <w:ind w:hanging="0" w:left="0" w:right="0"/>
        <w:jc w:val="both"/>
        <w:rPr>
          <w:rFonts w:ascii="Verdana" w:hAnsi="Verdana"/>
          <w:sz w:val="20"/>
          <w:szCs w:val="20"/>
        </w:rPr>
      </w:pPr>
      <w:r>
        <w:rPr>
          <w:rFonts w:ascii="Verdana" w:hAnsi="Verdana"/>
          <w:b/>
          <w:bCs/>
          <w:iCs/>
          <w:sz w:val="20"/>
          <w:szCs w:val="20"/>
          <w:shd w:fill="auto" w:val="clear"/>
        </w:rPr>
        <w:t>9. DAS SANÇÕES</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 Comete infração administrativa o fornecedor/prestador de serviço que cometer quaisquer das infrações previstas no art. 155 da Lei nº 14.133, de 2021, quais sejam:</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9.1.1. Dar causa à inexecução parcial do contrato.</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9.1.2. Dar causa à inexecução parcial que cause grave dano à Administração, ao funcionamento dos serviços públicos ou ao interesse coletivo.</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9.1.3. Dar causa à inexecução total;</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9.1.4. Deixar de entregar a documentação exigida para o certame.</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9.1.5. Não manter a proposta, salvo em decorrência de fato superveniente devidamente justificado.</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 xml:space="preserve">9.1.6. Não celebrar o contrato ou não entregar a documentação exigida para a contratação, quando convocado dentro do prazo de validade de sua proposta. </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9.1.7. Ensejar o retardamento da execução ou da entrega do objeto sem motivo justificado,</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9.1.8. Apresentar declaração ou documentação falsa exigida para o certame ou prestar declaração falsa durante a licitação ou a execução do objeto.</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9.1.9. Fraudar a licitação ou praticar ato fraudulento na execução do objeto.</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9.1.10. Comportar-se de modo inidôneo ou cometer fraude de qualquer natureza.</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9.1.10.1. Considera-se comportamento inidôneo, entre outros, a declaração falsa quanto às condições de participação, quanto ao enquadramento como ME/EPP ou o conluio entre os fornecedores, em qualquer momento da licitação, mesmo após o encerramento da fase de lances.</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9.1.11. Praticar atos ilícitos com vistas a frustrar os objetivos deste certame.</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9.1.12. Praticar ato lesivo previsto no art. 5º da Lei nº 12.846, de 1º de agosto de 2013.</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9.2. O fornecedor que cometer qualquer das infrações discriminadas nos subitens anteriores ficará sujeito, sem prejuízo da responsabilidade civil e criminal, às seguintes sanções:</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iCs/>
          <w:sz w:val="20"/>
          <w:szCs w:val="20"/>
          <w:shd w:fill="auto" w:val="clear"/>
        </w:rPr>
        <w:t>a) Advertência pela falta do subitem 9.1.1 deste Termo de Referência, quando não se justificar a imposição de penalidade mais grave.</w:t>
      </w:r>
    </w:p>
    <w:p>
      <w:pPr>
        <w:pStyle w:val="Normal"/>
        <w:widowControl/>
        <w:suppressAutoHyphens w:val="true"/>
        <w:bidi w:val="0"/>
        <w:spacing w:lineRule="auto" w:line="240" w:before="0" w:after="0"/>
        <w:ind w:hanging="0" w:left="-57" w:right="0"/>
        <w:jc w:val="both"/>
        <w:rPr>
          <w:rFonts w:ascii="Verdana" w:hAnsi="Verdana"/>
          <w:sz w:val="20"/>
          <w:szCs w:val="20"/>
        </w:rPr>
      </w:pPr>
      <w:r>
        <w:rPr>
          <w:rFonts w:ascii="Verdana" w:hAnsi="Verdana"/>
          <w:iCs/>
          <w:sz w:val="20"/>
          <w:szCs w:val="20"/>
          <w:shd w:fill="auto" w:val="clear"/>
        </w:rPr>
        <w:t xml:space="preserve">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iCs/>
          <w:sz w:val="20"/>
          <w:szCs w:val="20"/>
          <w:shd w:fill="auto" w:val="clear"/>
        </w:rPr>
        <w:t>b.1) O valor da multa poderá ser descontado das faturas devidas à CONTRATADA;</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iCs/>
          <w:sz w:val="20"/>
          <w:szCs w:val="20"/>
          <w:shd w:fill="auto" w:val="clear"/>
        </w:rPr>
        <w:t xml:space="preserve">b.2) A multa pode ser aplicada isoladamente ou juntamente com as penalidades definidas nos itens “c” e “d” abaixo: </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iCs/>
          <w:sz w:val="20"/>
          <w:szCs w:val="20"/>
          <w:shd w:fill="auto" w:val="clear"/>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iCs/>
          <w:sz w:val="20"/>
          <w:szCs w:val="20"/>
          <w:shd w:fill="auto" w:val="clear"/>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9.3. Na aplicação das sanções serão considerados:</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9.3.1. A natureza e a gravidade da infração cometida.</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9.3.2. As peculiaridades do caso concreto.</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9.3.3. As circunstâncias agravantes ou atenuantes.</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9.3.4. Os danos que dela provierem para a Administração Pública.</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9.3.5. A implantação ou o aperfeiçoamento de programa de integridade, conforme normas e orientações dos órgãos de controle.</w:t>
      </w:r>
    </w:p>
    <w:p>
      <w:pPr>
        <w:pStyle w:val="Normal"/>
        <w:spacing w:lineRule="auto" w:line="240"/>
        <w:ind w:hanging="0" w:left="0" w:right="0"/>
        <w:jc w:val="both"/>
        <w:rPr>
          <w:rFonts w:ascii="Verdana" w:hAnsi="Verdana"/>
          <w:sz w:val="20"/>
          <w:szCs w:val="20"/>
        </w:rPr>
      </w:pPr>
      <w:r>
        <w:rPr>
          <w:rFonts w:ascii="Verdana" w:hAnsi="Verdana"/>
          <w:iCs/>
          <w:sz w:val="20"/>
          <w:szCs w:val="20"/>
          <w:shd w:fill="auto" w:val="clear"/>
        </w:rPr>
        <w:t>9.4.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ind w:hanging="0" w:left="0" w:right="0"/>
        <w:jc w:val="both"/>
        <w:rPr>
          <w:rFonts w:ascii="Verdana" w:hAnsi="Verdana"/>
          <w:sz w:val="20"/>
          <w:szCs w:val="20"/>
        </w:rPr>
      </w:pPr>
      <w:r>
        <w:rPr>
          <w:rFonts w:ascii="Verdana" w:hAnsi="Verdana"/>
          <w:b w:val="false"/>
          <w:bCs w:val="false"/>
          <w:iCs/>
          <w:sz w:val="20"/>
          <w:szCs w:val="20"/>
          <w:shd w:fill="auto" w:val="clear"/>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hanging="0" w:left="0" w:right="0"/>
        <w:jc w:val="both"/>
        <w:rPr>
          <w:rFonts w:ascii="Verdana" w:hAnsi="Verdana"/>
          <w:iCs/>
          <w:sz w:val="20"/>
          <w:szCs w:val="20"/>
          <w:shd w:fill="auto" w:val="clear"/>
        </w:rPr>
      </w:pPr>
      <w:r>
        <w:rPr>
          <w:rFonts w:ascii="Verdana" w:hAnsi="Verdana"/>
          <w:iCs/>
          <w:sz w:val="20"/>
          <w:szCs w:val="20"/>
          <w:shd w:fill="auto" w:val="clear"/>
        </w:rPr>
      </w:r>
    </w:p>
    <w:p>
      <w:pPr>
        <w:pStyle w:val="Normal"/>
        <w:spacing w:lineRule="auto" w:line="240"/>
        <w:ind w:hanging="0" w:left="-79" w:right="0"/>
        <w:jc w:val="both"/>
        <w:rPr>
          <w:rFonts w:ascii="Verdana" w:hAnsi="Verdana"/>
          <w:sz w:val="20"/>
          <w:szCs w:val="20"/>
        </w:rPr>
      </w:pPr>
      <w:r>
        <w:rPr>
          <w:rFonts w:ascii="Verdana" w:hAnsi="Verdana"/>
          <w:b/>
          <w:bCs/>
          <w:sz w:val="20"/>
          <w:szCs w:val="20"/>
          <w:lang w:eastAsia="en-US"/>
        </w:rPr>
        <w:t>10. DA HABILITAÇÃO</w:t>
      </w:r>
    </w:p>
    <w:p>
      <w:pPr>
        <w:pStyle w:val="Normal"/>
        <w:spacing w:lineRule="auto" w:line="240"/>
        <w:ind w:hanging="0" w:left="-79" w:right="0"/>
        <w:jc w:val="both"/>
        <w:rPr>
          <w:rFonts w:ascii="Verdana" w:hAnsi="Verdana"/>
          <w:sz w:val="20"/>
          <w:szCs w:val="20"/>
        </w:rPr>
      </w:pPr>
      <w:r>
        <w:rPr>
          <w:rFonts w:cs="Verdana" w:ascii="Verdana" w:hAnsi="Verdana"/>
          <w:b w:val="false"/>
          <w:bCs w:val="false"/>
          <w:sz w:val="20"/>
          <w:szCs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a) SICAF;</w:t>
      </w:r>
    </w:p>
    <w:p>
      <w:pPr>
        <w:pStyle w:val="ListParagraph"/>
        <w:spacing w:lineRule="auto" w:line="240" w:before="57" w:after="57"/>
        <w:ind w:hanging="0" w:left="0" w:right="0"/>
        <w:contextualSpacing w:val="false"/>
        <w:jc w:val="both"/>
        <w:rPr/>
      </w:pPr>
      <w:r>
        <w:rPr>
          <w:rFonts w:cs="Verdana" w:ascii="Verdana" w:hAnsi="Verdana"/>
          <w:b w:val="false"/>
          <w:bCs w:val="false"/>
          <w:sz w:val="20"/>
          <w:szCs w:val="20"/>
          <w:lang w:eastAsia="ar-SA"/>
        </w:rPr>
        <w:t>b) Cadastro Nacional de Empresas Inidôneas e Suspensas – CEIS, mantido pela Controladoria-Geral da União (</w:t>
      </w:r>
      <w:hyperlink r:id="rId3">
        <w:r>
          <w:rPr>
            <w:rStyle w:val="Hyperlink"/>
            <w:rFonts w:cs="Verdana" w:ascii="Verdana" w:hAnsi="Verdana"/>
            <w:b w:val="false"/>
            <w:bCs w:val="false"/>
            <w:sz w:val="20"/>
            <w:szCs w:val="20"/>
            <w:lang w:eastAsia="ar-SA"/>
          </w:rPr>
          <w:t>www.portaldatransparencia.gov.br/ceis</w:t>
        </w:r>
      </w:hyperlink>
      <w:r>
        <w:rPr>
          <w:rFonts w:cs="Verdana" w:ascii="Verdana" w:hAnsi="Verdana"/>
          <w:b w:val="false"/>
          <w:bCs w:val="false"/>
          <w:sz w:val="20"/>
          <w:szCs w:val="20"/>
          <w:lang w:eastAsia="ar-SA"/>
        </w:rPr>
        <w:t>);</w:t>
      </w:r>
    </w:p>
    <w:p>
      <w:pPr>
        <w:pStyle w:val="ListParagraph"/>
        <w:spacing w:lineRule="auto" w:line="240" w:before="57" w:after="57"/>
        <w:ind w:hanging="0" w:left="0" w:right="0"/>
        <w:contextualSpacing w:val="false"/>
        <w:jc w:val="both"/>
        <w:rPr/>
      </w:pPr>
      <w:r>
        <w:rPr>
          <w:rFonts w:cs="Verdana" w:ascii="Verdana" w:hAnsi="Verdana"/>
          <w:b w:val="false"/>
          <w:bCs w:val="false"/>
          <w:sz w:val="20"/>
          <w:szCs w:val="20"/>
          <w:lang w:eastAsia="ar-SA"/>
        </w:rPr>
        <w:t>c) Cadastro Nacional de Condenações Cíveis por Atos de Improbidade Administrativa, mantido pelo Conselho Nacional de Justiça (</w:t>
      </w:r>
      <w:hyperlink r:id="rId4">
        <w:r>
          <w:rPr>
            <w:rStyle w:val="Hyperlink"/>
            <w:rFonts w:cs="Verdana" w:ascii="Verdana" w:hAnsi="Verdana"/>
            <w:b w:val="false"/>
            <w:bCs w:val="false"/>
            <w:sz w:val="20"/>
            <w:szCs w:val="20"/>
            <w:lang w:eastAsia="ar-SA"/>
          </w:rPr>
          <w:t>www.cnj.jus.br/improbidade_adm/consultar_requerido.php</w:t>
        </w:r>
      </w:hyperlink>
      <w:r>
        <w:rPr>
          <w:rFonts w:cs="Verdana" w:ascii="Verdana" w:hAnsi="Verdana"/>
          <w:b w:val="false"/>
          <w:bCs w:val="false"/>
          <w:sz w:val="20"/>
          <w:szCs w:val="20"/>
          <w:lang w:eastAsia="ar-SA"/>
        </w:rPr>
        <w:t>).</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b w:val="false"/>
          <w:bCs w:val="false"/>
          <w:sz w:val="20"/>
          <w:szCs w:val="20"/>
          <w:lang w:eastAsia="ar-SA"/>
        </w:rPr>
        <w:t>e) Cadastro de empresas inid</w:t>
      </w:r>
      <w:r>
        <w:rPr>
          <w:rFonts w:cs="Verdana" w:ascii="Verdana" w:hAnsi="Verdana"/>
          <w:b w:val="false"/>
          <w:bCs w:val="false"/>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Hyperlink"/>
            <w:rFonts w:cs="Verdana" w:ascii="Verdana" w:hAnsi="Verdana"/>
            <w:b w:val="false"/>
            <w:bCs w:val="false"/>
            <w:sz w:val="20"/>
            <w:szCs w:val="20"/>
          </w:rPr>
          <w:t>https://www.tcees.tc.br/portal-da-transparencia/consultas/lista-de</w:t>
        </w:r>
      </w:hyperlink>
      <w:r>
        <w:rPr>
          <w:rFonts w:cs="Verdana" w:ascii="Verdana" w:hAnsi="Verdana"/>
          <w:b w:val="false"/>
          <w:bCs w:val="false"/>
          <w:sz w:val="20"/>
          <w:szCs w:val="20"/>
        </w:rPr>
        <w:t xml:space="preserve"> responsáveis/proibidos-de-contratar/).</w:t>
      </w:r>
    </w:p>
    <w:p>
      <w:pPr>
        <w:pStyle w:val="Normal"/>
        <w:spacing w:lineRule="auto" w:line="240" w:before="57" w:after="57"/>
        <w:jc w:val="both"/>
        <w:rPr/>
      </w:pPr>
      <w:r>
        <w:rPr>
          <w:rFonts w:cs="Verdana" w:ascii="Verdana" w:hAnsi="Verdana"/>
          <w:b w:val="false"/>
          <w:bCs w:val="false"/>
          <w:sz w:val="20"/>
          <w:szCs w:val="20"/>
          <w:lang w:eastAsia="ar-SA"/>
        </w:rPr>
        <w:t>10.1.1. Para a consulta de licitantes pessoa jurídica poderá haver a substituição das consultas das alíneas “b”, “c” e “d” acima pela Consulta Consolidada de Pessoa Jurídica do TCU (</w:t>
      </w:r>
      <w:hyperlink r:id="rId6">
        <w:r>
          <w:rPr>
            <w:rStyle w:val="Hyperlink"/>
            <w:rFonts w:cs="Verdana" w:ascii="Verdana" w:hAnsi="Verdana"/>
            <w:b w:val="false"/>
            <w:bCs w:val="false"/>
            <w:sz w:val="20"/>
            <w:szCs w:val="20"/>
            <w:lang w:eastAsia="ar-SA"/>
          </w:rPr>
          <w:t>https://certidoesapf.apps.tcu.gov.br/</w:t>
        </w:r>
      </w:hyperlink>
      <w:r>
        <w:rPr>
          <w:rFonts w:cs="Verdana" w:ascii="Verdana" w:hAnsi="Verdana"/>
          <w:b w:val="false"/>
          <w:bCs w:val="false"/>
          <w:sz w:val="20"/>
          <w:szCs w:val="20"/>
          <w:lang w:eastAsia="ar-SA"/>
        </w:rPr>
        <w:t>);</w:t>
      </w:r>
    </w:p>
    <w:p>
      <w:pPr>
        <w:pStyle w:val="Normal"/>
        <w:spacing w:lineRule="auto" w:line="240" w:before="57" w:after="57"/>
        <w:jc w:val="both"/>
        <w:rPr>
          <w:rFonts w:ascii="Verdana" w:hAnsi="Verdana"/>
          <w:sz w:val="20"/>
          <w:szCs w:val="20"/>
        </w:rPr>
      </w:pPr>
      <w:r>
        <w:rPr>
          <w:rFonts w:cs="Verdana" w:ascii="Verdana" w:hAnsi="Verdana"/>
          <w:b w:val="false"/>
          <w:bCs w:val="false"/>
          <w:color w:val="000000"/>
          <w:sz w:val="20"/>
          <w:szCs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102.1.2.3. O licitante será convocado para manifestação previamente à sua desclassificação.</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10.1.3. Constatada a existência de sanção, o Pregoeiro reputará o licitante inabilitado, por falta de condição de participação.</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 xml:space="preserve">10.2 </w:t>
      </w:r>
      <w:r>
        <w:rPr>
          <w:rFonts w:cs="Verdana" w:ascii="Verdana" w:hAnsi="Verdana"/>
          <w:b w:val="false"/>
          <w:bCs w:val="false"/>
          <w:color w:val="000000"/>
          <w:sz w:val="20"/>
          <w:szCs w:val="20"/>
        </w:rPr>
        <w:t xml:space="preserve">Caso atendidas as condições de participação, </w:t>
      </w:r>
      <w:r>
        <w:rPr>
          <w:rFonts w:cs="Verdana" w:ascii="Verdana" w:hAnsi="Verdana"/>
          <w:b w:val="false"/>
          <w:bCs w:val="false"/>
          <w:sz w:val="20"/>
          <w:szCs w:val="20"/>
        </w:rPr>
        <w:t>a habilitação dos licitantes será verificada por meio do SICAF, nos documentos por ele abrangidos</w:t>
      </w:r>
      <w:r>
        <w:rPr>
          <w:rFonts w:cs="Verdana" w:ascii="Verdana" w:hAnsi="Verdana"/>
          <w:b w:val="false"/>
          <w:bCs w:val="false"/>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10.2.3 O descu</w:t>
      </w:r>
      <w:r>
        <w:rPr>
          <w:rFonts w:cs="Verdana" w:ascii="Verdana" w:hAnsi="Verdana"/>
          <w:color w:val="000000"/>
          <w:sz w:val="20"/>
          <w:szCs w:val="20"/>
        </w:rPr>
        <w:t>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tabs>
          <w:tab w:val="clear" w:pos="708"/>
          <w:tab w:val="left" w:pos="567" w:leader="none"/>
        </w:tabs>
        <w:spacing w:lineRule="auto" w:line="240" w:before="57" w:after="57"/>
        <w:ind w:hanging="0"/>
        <w:rPr>
          <w:rFonts w:ascii="Verdana" w:hAnsi="Verdana"/>
          <w:sz w:val="20"/>
          <w:szCs w:val="20"/>
        </w:rPr>
      </w:pPr>
      <w:r>
        <w:rPr>
          <w:rFonts w:cs="Verdana" w:ascii="Verdana" w:hAnsi="Verdana"/>
          <w:b w:val="false"/>
          <w:bCs w:val="false"/>
          <w:color w:val="000000"/>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tabs>
          <w:tab w:val="clear" w:pos="708"/>
          <w:tab w:val="left" w:pos="567" w:leader="none"/>
        </w:tabs>
        <w:spacing w:lineRule="auto" w:line="240" w:before="57" w:after="57"/>
        <w:ind w:hanging="0"/>
        <w:rPr>
          <w:rFonts w:ascii="Verdana" w:hAnsi="Verdana"/>
          <w:sz w:val="20"/>
          <w:szCs w:val="20"/>
        </w:rPr>
      </w:pPr>
      <w:r>
        <w:rPr>
          <w:rFonts w:cs="Verdana" w:ascii="Verdana" w:hAnsi="Verdana"/>
          <w:b w:val="false"/>
          <w:bCs w:val="false"/>
          <w:sz w:val="20"/>
          <w:szCs w:val="20"/>
        </w:rPr>
        <w:t>10.4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lineRule="auto" w:line="240" w:before="57" w:after="57"/>
        <w:ind w:hanging="0"/>
        <w:rPr>
          <w:rFonts w:ascii="Verdana" w:hAnsi="Verdana"/>
          <w:sz w:val="20"/>
          <w:szCs w:val="20"/>
        </w:rPr>
      </w:pPr>
      <w:r>
        <w:rPr>
          <w:rFonts w:cs="Verdana" w:ascii="Verdana" w:hAnsi="Verdana"/>
          <w:b w:val="false"/>
          <w:bCs w:val="false"/>
          <w:sz w:val="20"/>
          <w:szCs w:val="20"/>
        </w:rPr>
        <w:t>10.5 Não serão aceitos documentos de habilitação com indicação de CNPJ/CPF diferentes, salvo aqueles legalmente permitidos.</w:t>
      </w:r>
    </w:p>
    <w:p>
      <w:pPr>
        <w:pStyle w:val="PADRO"/>
        <w:widowControl/>
        <w:tabs>
          <w:tab w:val="clear" w:pos="708"/>
          <w:tab w:val="left" w:pos="567" w:leader="none"/>
        </w:tabs>
        <w:spacing w:lineRule="auto" w:line="240" w:before="57" w:after="57"/>
        <w:ind w:hanging="0"/>
        <w:rPr>
          <w:rFonts w:ascii="Verdana" w:hAnsi="Verdana"/>
          <w:sz w:val="20"/>
          <w:szCs w:val="20"/>
        </w:rPr>
      </w:pPr>
      <w:r>
        <w:rPr>
          <w:rFonts w:cs="Verdana" w:ascii="Verdana" w:hAnsi="Verdana"/>
          <w:b w:val="false"/>
          <w:bCs w:val="false"/>
          <w:sz w:val="20"/>
          <w:szCs w:val="20"/>
        </w:rPr>
        <w:t>10.6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240" w:before="0" w:after="0"/>
        <w:ind w:hanging="0"/>
        <w:rPr>
          <w:rFonts w:ascii="Verdana" w:hAnsi="Verdana"/>
          <w:sz w:val="20"/>
          <w:szCs w:val="20"/>
        </w:rPr>
      </w:pPr>
      <w:r>
        <w:rPr>
          <w:rFonts w:cs="Verdana" w:ascii="Verdana" w:hAnsi="Verdana"/>
          <w:b w:val="false"/>
          <w:bCs w:val="false"/>
          <w:color w:val="000000"/>
          <w:sz w:val="20"/>
          <w:szCs w:val="20"/>
        </w:rPr>
        <w:t>10.7</w:t>
      </w:r>
      <w:r>
        <w:rPr>
          <w:rFonts w:cs="Verdana" w:ascii="Verdana" w:hAnsi="Verdana"/>
          <w:color w:val="000000"/>
          <w:sz w:val="20"/>
          <w:szCs w:val="20"/>
        </w:rPr>
        <w:t xml:space="preserve"> Ressalvado o disposto </w:t>
      </w:r>
      <w:r>
        <w:rPr>
          <w:rFonts w:eastAsia="WenQuanYi Micro Hei" w:cs="Verdana" w:ascii="Verdana" w:hAnsi="Verdana"/>
          <w:color w:val="000000"/>
          <w:kern w:val="0"/>
          <w:sz w:val="20"/>
          <w:szCs w:val="20"/>
          <w:lang w:val="pt-BR" w:eastAsia="zh-CN" w:bidi="hi-IN"/>
        </w:rPr>
        <w:t>na lei</w:t>
      </w:r>
      <w:r>
        <w:rPr>
          <w:rFonts w:cs="Verdana" w:ascii="Verdana" w:hAnsi="Verdana"/>
          <w:color w:val="000000"/>
          <w:sz w:val="20"/>
          <w:szCs w:val="20"/>
        </w:rPr>
        <w:t>, os licitantes deverão encaminhar, nos termos deste Edital, a documentação relacionada nos itens a seguir, para fins de habilitação:</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bCs/>
          <w:color w:val="000000"/>
          <w:sz w:val="20"/>
          <w:szCs w:val="20"/>
        </w:rPr>
        <w:t>10.8 Habilitação jurídica:</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10.8.1 No caso de empresário individual: inscrição no Registro Público de Empresas Mercantis, a cargo da Junta Comercial da respectiva sede;</w:t>
      </w:r>
    </w:p>
    <w:p>
      <w:pPr>
        <w:pStyle w:val="ListParagraph"/>
        <w:spacing w:lineRule="auto" w:line="240" w:before="57" w:after="57"/>
        <w:ind w:hanging="0" w:left="0" w:right="0"/>
        <w:contextualSpacing w:val="false"/>
        <w:jc w:val="both"/>
        <w:rPr/>
      </w:pPr>
      <w:r>
        <w:rPr>
          <w:rFonts w:cs="Verdana" w:ascii="Verdana" w:hAnsi="Verdana"/>
          <w:b w:val="false"/>
          <w:bCs w:val="false"/>
          <w:color w:val="000000"/>
          <w:sz w:val="20"/>
          <w:szCs w:val="20"/>
        </w:rPr>
        <w:t xml:space="preserve">10.8.2 Em se tratando de microempreendedor individual – MEI: Certificado da Condição de Microempreendedor Individual – CCMEI, cuja aceitação ficará condicionada à verificação da autenticidade no sítio </w:t>
      </w:r>
      <w:hyperlink r:id="rId7">
        <w:r>
          <w:rPr>
            <w:rStyle w:val="Hyperlink"/>
            <w:rFonts w:cs="Verdana" w:ascii="Verdana" w:hAnsi="Verdana"/>
            <w:b w:val="false"/>
            <w:bCs w:val="false"/>
            <w:color w:val="000000"/>
            <w:sz w:val="20"/>
            <w:szCs w:val="20"/>
          </w:rPr>
          <w:t>www.portaldoempreendedor.gov.br</w:t>
        </w:r>
      </w:hyperlink>
      <w:r>
        <w:rPr>
          <w:rFonts w:cs="Verdana" w:ascii="Verdana" w:hAnsi="Verdana"/>
          <w:b w:val="false"/>
          <w:bCs w:val="false"/>
          <w:color w:val="000000"/>
          <w:sz w:val="20"/>
          <w:szCs w:val="20"/>
        </w:rPr>
        <w:t>;</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10.8.4 Inscrição no Registro Público de Empresas Mercantis onde opera, com averbação no Registro onde tem sede a matriz, no caso de ser o participante sucursal, filial ou agência;</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10.8.6</w:t>
      </w:r>
      <w:r>
        <w:rPr>
          <w:rFonts w:cs="Verdana" w:ascii="Verdana" w:hAnsi="Verdana"/>
          <w:b/>
          <w:bCs/>
          <w:color w:val="000000"/>
          <w:sz w:val="20"/>
          <w:szCs w:val="20"/>
        </w:rPr>
        <w:t xml:space="preserve"> </w:t>
      </w:r>
      <w:r>
        <w:rPr>
          <w:rFonts w:cs="Verdana"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10.8.7 No caso de empresa ou sociedade estrangeira em funcionamento no País: decreto de autorização;</w:t>
      </w:r>
    </w:p>
    <w:p>
      <w:pPr>
        <w:pStyle w:val="ListParagraph"/>
        <w:spacing w:lineRule="auto" w:line="240" w:before="0" w:after="0"/>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10.8.8 Os documentos acima deverão estar acompanhados de todas as alterações ou da c</w:t>
      </w:r>
      <w:r>
        <w:rPr>
          <w:rFonts w:cs="Verdana" w:ascii="Verdana" w:hAnsi="Verdana"/>
          <w:bCs/>
          <w:color w:val="000000"/>
          <w:sz w:val="20"/>
          <w:szCs w:val="20"/>
        </w:rPr>
        <w:t>onsolidação respectiva;</w:t>
      </w:r>
    </w:p>
    <w:p>
      <w:pPr>
        <w:pStyle w:val="ListParagraph"/>
        <w:spacing w:lineRule="auto" w:line="240" w:before="0" w:after="0"/>
        <w:ind w:hanging="0" w:left="0" w:right="0"/>
        <w:contextualSpacing w:val="false"/>
        <w:jc w:val="both"/>
        <w:rPr>
          <w:rFonts w:ascii="Verdana" w:hAnsi="Verdana"/>
          <w:sz w:val="20"/>
          <w:szCs w:val="20"/>
        </w:rPr>
      </w:pPr>
      <w:r>
        <w:rPr>
          <w:rFonts w:cs="Verdana" w:ascii="Verdana" w:hAnsi="Verdana"/>
          <w:b/>
          <w:bCs/>
          <w:color w:val="000000"/>
          <w:sz w:val="20"/>
          <w:szCs w:val="20"/>
        </w:rPr>
        <w:t xml:space="preserve">10.9.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lang w:eastAsia="en-US"/>
        </w:rPr>
        <w:t>10.9.1 Prova de inscrição no Cadastro Nacional de Pessoas Jurídicas ou no Cadastro de Pessoas Físicas, conforme o caso;</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lang w:eastAsia="en-US"/>
        </w:rPr>
        <w:t>10.9.2 Certidão de regularidade junto à fazenda pública Municipal, do domicílio do Licitante;</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rPr>
        <w:t>10.9.3 Certidão de regularidade junto à fazenda pública Estadual, do domicílio do Licitante;</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rPr>
        <w:t>10.9.4 Certidão conjunta de regularidade junto à fazenda pública Federal, (Quitação de tributos e contribuições Federais e Quanto à dívida ativa da União) e junto ao INSS, conforme Portaria MF nº 358 de 05/09/2014;</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rPr>
        <w:t>10.9.5 Certidão de regularidade junto ao FGTS;</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lang w:eastAsia="en-US"/>
        </w:rPr>
        <w:t>10.9.6 Certidão Negativa De Débitos Trabalhistas (CNDT) de acordo com a Lei 12440 de 7 de julho de 2011.</w:t>
      </w:r>
    </w:p>
    <w:p>
      <w:pPr>
        <w:pStyle w:val="Normal"/>
        <w:snapToGrid w:val="false"/>
        <w:spacing w:lineRule="auto" w:line="240" w:before="0" w:after="0"/>
        <w:jc w:val="both"/>
        <w:rPr>
          <w:rFonts w:ascii="Verdana" w:hAnsi="Verdana"/>
          <w:sz w:val="20"/>
          <w:szCs w:val="20"/>
        </w:rPr>
      </w:pPr>
      <w:r>
        <w:rPr>
          <w:rFonts w:cs="Verdana" w:ascii="Verdana" w:hAnsi="Verdana"/>
          <w:b w:val="false"/>
          <w:bCs w:val="false"/>
          <w:color w:val="000000"/>
          <w:sz w:val="20"/>
          <w:szCs w:val="20"/>
          <w:lang w:eastAsia="en-US" w:bidi="pt-BR"/>
        </w:rPr>
        <w:t xml:space="preserve">10.9.7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 compr</w:t>
      </w:r>
      <w:r>
        <w:rPr>
          <w:rFonts w:cs="Verdana" w:ascii="Verdana" w:hAnsi="Verdana"/>
          <w:color w:val="000000"/>
          <w:sz w:val="20"/>
          <w:szCs w:val="20"/>
          <w:lang w:eastAsia="en-US"/>
        </w:rPr>
        <w:t>ovação de regularidade fiscal, mesmo que esta apresente alguma restrição, sob pena de inabilitação.</w:t>
      </w:r>
    </w:p>
    <w:p>
      <w:pPr>
        <w:pStyle w:val="ListParagraph"/>
        <w:spacing w:lineRule="auto" w:line="240" w:before="0" w:after="0"/>
        <w:ind w:hanging="0" w:left="0" w:right="0"/>
        <w:contextualSpacing w:val="false"/>
        <w:jc w:val="both"/>
        <w:rPr>
          <w:rFonts w:ascii="Verdana" w:hAnsi="Verdana"/>
          <w:sz w:val="20"/>
          <w:szCs w:val="20"/>
        </w:rPr>
      </w:pPr>
      <w:r>
        <w:rPr>
          <w:rFonts w:cs="Verdana" w:ascii="Verdana" w:hAnsi="Verdana"/>
          <w:b/>
          <w:color w:val="000000"/>
          <w:sz w:val="20"/>
          <w:szCs w:val="20"/>
        </w:rPr>
        <w:t>10.10 Qualificação Econômico-Financeira</w:t>
      </w:r>
      <w:r>
        <w:rPr>
          <w:rFonts w:cs="Verdana" w:ascii="Verdana" w:hAnsi="Verdana"/>
          <w:color w:val="000000"/>
          <w:sz w:val="20"/>
          <w:szCs w:val="20"/>
        </w:rPr>
        <w:t>.</w:t>
      </w:r>
    </w:p>
    <w:p>
      <w:pPr>
        <w:pStyle w:val="Normal"/>
        <w:tabs>
          <w:tab w:val="clear" w:pos="708"/>
          <w:tab w:val="left" w:pos="850" w:leader="none"/>
        </w:tabs>
        <w:snapToGrid w:val="false"/>
        <w:spacing w:lineRule="auto" w:line="240" w:before="0" w:after="0"/>
        <w:jc w:val="both"/>
        <w:rPr>
          <w:rFonts w:ascii="Verdana" w:hAnsi="Verdana"/>
          <w:sz w:val="20"/>
          <w:szCs w:val="20"/>
        </w:rPr>
      </w:pPr>
      <w:r>
        <w:rPr>
          <w:rFonts w:cs="Verdana" w:ascii="Verdana" w:hAnsi="Verdana"/>
          <w:b w:val="false"/>
          <w:bCs w:val="false"/>
          <w:color w:val="000000"/>
          <w:sz w:val="20"/>
          <w:szCs w:val="20"/>
          <w:u w:val="none"/>
        </w:rPr>
        <w:t>a)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napToGrid w:val="false"/>
        <w:spacing w:lineRule="auto" w:line="240" w:before="57" w:after="57"/>
        <w:jc w:val="both"/>
        <w:rPr>
          <w:rFonts w:ascii="Verdana" w:hAnsi="Verdana"/>
          <w:sz w:val="20"/>
          <w:szCs w:val="20"/>
        </w:rPr>
      </w:pPr>
      <w:r>
        <w:rPr>
          <w:rFonts w:cs="Verdana" w:ascii="Verdana" w:hAnsi="Verdana"/>
          <w:b w:val="false"/>
          <w:bCs w:val="false"/>
          <w:color w:val="000000"/>
          <w:sz w:val="20"/>
          <w:szCs w:val="20"/>
          <w:u w:val="none"/>
        </w:rPr>
        <w:t>a.1)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napToGrid w:val="false"/>
        <w:spacing w:lineRule="auto" w:line="240" w:before="57" w:after="57"/>
        <w:jc w:val="both"/>
        <w:rPr>
          <w:rFonts w:ascii="Verdana" w:hAnsi="Verdana"/>
          <w:sz w:val="20"/>
          <w:szCs w:val="20"/>
        </w:rPr>
      </w:pPr>
      <w:r>
        <w:rPr>
          <w:rFonts w:cs="Verdana" w:ascii="Verdana" w:hAnsi="Verdana"/>
          <w:b w:val="false"/>
          <w:bCs w:val="false"/>
          <w:sz w:val="20"/>
          <w:szCs w:val="20"/>
          <w:u w:val="none"/>
        </w:rPr>
        <w:t>a.2) Para a contagem do prazo estabelecido na letra “a” deste capítulo, será contado a partir do primeiro dia que antecede a data da realização desta  licitação.</w:t>
      </w:r>
    </w:p>
    <w:p>
      <w:pPr>
        <w:pStyle w:val="Normal"/>
        <w:tabs>
          <w:tab w:val="clear" w:pos="708"/>
          <w:tab w:val="left" w:pos="850" w:leader="none"/>
        </w:tabs>
        <w:snapToGrid w:val="false"/>
        <w:spacing w:lineRule="auto" w:line="240" w:before="57" w:after="57"/>
        <w:ind w:hanging="0" w:left="-79" w:right="0"/>
        <w:jc w:val="both"/>
        <w:rPr>
          <w:rFonts w:ascii="Verdana" w:hAnsi="Verdana"/>
          <w:sz w:val="20"/>
          <w:szCs w:val="20"/>
        </w:rPr>
      </w:pPr>
      <w:r>
        <w:rPr>
          <w:rFonts w:cs="Verdana" w:ascii="Verdana" w:hAnsi="Verdana"/>
          <w:b w:val="false"/>
          <w:bCs w:val="false"/>
          <w:iCs/>
          <w:color w:val="000000"/>
          <w:sz w:val="20"/>
          <w:szCs w:val="20"/>
          <w:u w:val="none"/>
          <w:shd w:fill="auto" w:val="clear"/>
          <w:lang w:eastAsia="en-US"/>
        </w:rPr>
        <w:t>a.3)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color w:val="000000"/>
          <w:sz w:val="20"/>
          <w:szCs w:val="20"/>
        </w:rPr>
        <w:t xml:space="preserve">b) </w:t>
      </w:r>
      <w:r>
        <w:rPr>
          <w:rFonts w:cs="Verdana" w:ascii="Verdana" w:hAnsi="Verdana"/>
          <w:b/>
          <w:bCs/>
          <w:color w:val="000000"/>
          <w:sz w:val="20"/>
          <w:szCs w:val="20"/>
        </w:rPr>
        <w:t>BALANÇO PATRIMONIAL DA EMPRESA</w:t>
      </w:r>
      <w:r>
        <w:rPr>
          <w:rFonts w:cs="Verdana" w:ascii="Verdana" w:hAnsi="Verdana"/>
          <w:color w:val="000000"/>
          <w:sz w:val="20"/>
          <w:szCs w:val="20"/>
        </w:rPr>
        <w:t>. A exigência é salutar, pois se trata de empreendimento de vultosos valores. Diante disso, a Administração Pública não pode permitir a participação de aventureiros e de empresas que não conseguirão ter fluxo de caixa para executar o empreendimento. Por fim, o interesse social do projeto demanda uma maior segurança.</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color w:val="000000"/>
          <w:sz w:val="20"/>
          <w:szCs w:val="20"/>
        </w:rPr>
        <w:t>b1) PARA MICROEMPRESAS</w:t>
      </w:r>
      <w:r>
        <w:rPr>
          <w:rFonts w:cs="Verdana" w:ascii="Verdana" w:hAnsi="Verdana"/>
          <w:color w:val="000000"/>
          <w:sz w:val="20"/>
          <w:szCs w:val="20"/>
        </w:rPr>
        <w:t>:</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val="false"/>
          <w:bCs w:val="false"/>
          <w:color w:val="000000"/>
          <w:sz w:val="20"/>
          <w:szCs w:val="20"/>
        </w:rPr>
        <w:t>b.1.1) A Licitante deverá apresentar cópia autentica, conforme lei municipal 13726\2018, do Balanço Patrimonial e das Demonstrações Contábeis do último exercício social, já exigíveis e apresentados na forma da Lei, incluindo a apresentação do Termo de Abertura e Termo de Encerramento do Livro Diário, devidamente registrados na Junta Comercial do Estado da Sede da licitante, obedecendo aos critérios estabelecidos pelo CFC – Conselho Federal de Contabilidade através da Resolução nº. 1.418/2012, que aprovou a Instrução Técnica Geral 1000 = ITG 1000, Modelo Contábil para as Micro Empresas e para as Empresas de Pequeno Porte, no caso da licitante enquadrar-se como ME ou EPP:</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val="false"/>
          <w:bCs w:val="false"/>
          <w:color w:val="000000"/>
          <w:sz w:val="20"/>
          <w:szCs w:val="20"/>
        </w:rPr>
        <w:t>b.1.2) A ITG 1000 – do CFC – Conselho Federal de Contabilidade, estabelece a exigência de se apresentar no mínimo o Balanço Patrimonial, a Demonstração do Resultado do Exercício, a Demonstração dos Fluxos de Caixa e as Notas Explicativas, inclusive com as colunas comparativas de no mínimo 02 (dois) exercícios;</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val="false"/>
          <w:bCs w:val="false"/>
          <w:color w:val="000000"/>
          <w:sz w:val="20"/>
          <w:szCs w:val="20"/>
        </w:rPr>
        <w:t xml:space="preserve">b.1.3) Quando a empresa apresentar o SPED – Contábil enviado para A RFB – </w:t>
      </w:r>
      <w:r>
        <w:rPr>
          <w:rFonts w:cs="Verdana" w:ascii="Verdana" w:hAnsi="Verdana"/>
          <w:color w:val="000000"/>
          <w:sz w:val="20"/>
          <w:szCs w:val="20"/>
        </w:rPr>
        <w:t>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color w:val="000000"/>
          <w:sz w:val="20"/>
          <w:szCs w:val="20"/>
        </w:rPr>
        <w:t>b.2) PARA EMPRESA DE MÉDIO E GRANDE PORTE</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val="false"/>
          <w:bCs w:val="false"/>
          <w:color w:val="000000"/>
          <w:sz w:val="20"/>
          <w:szCs w:val="20"/>
        </w:rPr>
        <w:t>b.2.1) A Licitante deverá apresentar cópia autentica do Balanço Patrimonial e das Demonstrações Contábeis do último exercício social, já exigíveis e apresentados na forma da Lei, inclusive a apresentação do Termo de Abertura e Termo de Encerramento do Livro Diário, devidamente registrados na Junta Comercial do Estado da Sede da licitante, obedecendo aos critérios estabelecidos pelo CFC através da Resolução nº. 1.255/2009, que aprovou a Norma Brasileira de Contabilidade – NBC TG 1000, Modelo Contábil para as Médias Empresas, no caso da licitante enquadrar-se como Média empresa:</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val="false"/>
          <w:bCs w:val="false"/>
          <w:color w:val="000000"/>
          <w:sz w:val="20"/>
          <w:szCs w:val="20"/>
        </w:rPr>
        <w:t>b.2.2) A NBC TG 1000 do CFC – Conselho Federal de Contabilidade, estabelece a exigência de se apresentar no mínimo o Balanço Patrimonial, a Demonstração do Resultado do Exercício e a Demonstração do Resultado Abrangente, a Demonstração das Mutações do patrimônio líquido, a Demonstração dos Lucros ou Prejuízos Acumulados, a Demonstração dos Fluxos de Caixa e as Notas Explicativas, inclusive com colunas comparativas de no mínimo 02 (dois) exercícios sociais;</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val="false"/>
          <w:bCs w:val="false"/>
          <w:color w:val="000000"/>
          <w:sz w:val="20"/>
          <w:szCs w:val="20"/>
        </w:rPr>
        <w:t>b.2.3) Quando a empresa apresentar o SPED-Contábil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val="false"/>
          <w:bCs w:val="false"/>
          <w:color w:val="000000"/>
          <w:sz w:val="20"/>
          <w:szCs w:val="20"/>
        </w:rPr>
        <w:t>b.3) S/A – Sociedades Anônimas</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val="false"/>
          <w:bCs w:val="false"/>
          <w:color w:val="000000"/>
          <w:sz w:val="20"/>
          <w:szCs w:val="20"/>
        </w:rPr>
        <w:t>a) No caso de S/A – Sociedades Anônimas, obrigadas a publicarem suas peças contábeis, deverá ser apresentada a cópia autenticada dos termos de abertura e encerramento do Livro Diário relativo ao último exercício exigível na forma da lei, devidamente registrado no órgão competente, bem como cópia da referida publicação onde conste o Balanço Patrimonial, a Demonstração de Resultado do Exercício, a Demonstração dos Fluxos de Caixa, a Demonstração das Mutações do Patrimônio Líquido e as Notas Explicativas, conforme estabelece a Lei nº. 6.404/1976 e suas alterações;</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val="false"/>
          <w:bCs w:val="false"/>
          <w:color w:val="000000"/>
          <w:sz w:val="20"/>
          <w:szCs w:val="20"/>
        </w:rPr>
        <w:t>b.4) As empresas constituídas no exercício em curso deverão apresentar a cópia do balanço de abertura ou cópia do livro diário contendo o balanço de abertura, inclusive os termos de abertura e encerramento.</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val="false"/>
          <w:bCs w:val="false"/>
          <w:color w:val="000000"/>
          <w:sz w:val="20"/>
          <w:szCs w:val="20"/>
        </w:rPr>
        <w:t>c) Apresentação de Relatório Contábil, contendo no mínimo os seguintes Índices Financeiros extraídos do Balanço Patrimonial apresentado nos itens acima, comprovando a boa situação financeira da licitante, vedada a sua substituição por balancetes ou balanços provisórios (exceto no caso de empresas constituídas no ano em curso), devidamente assinado pelo Contabilista Responsável pela Contabilidade da licitante e devidamente registrado no CRC – Conselho Regional de Contabilidade.</w:t>
      </w:r>
    </w:p>
    <w:p>
      <w:pPr>
        <w:pStyle w:val="Standard"/>
        <w:tabs>
          <w:tab w:val="clear" w:pos="708"/>
          <w:tab w:val="left" w:pos="397" w:leader="none"/>
        </w:tabs>
        <w:spacing w:lineRule="auto" w:line="240"/>
        <w:jc w:val="both"/>
        <w:rPr>
          <w:rFonts w:ascii="Verdana" w:hAnsi="Verdana"/>
          <w:sz w:val="20"/>
          <w:szCs w:val="20"/>
        </w:rPr>
      </w:pPr>
      <w:r>
        <w:rPr>
          <w:rFonts w:cs="Verdana" w:ascii="Verdana" w:hAnsi="Verdana"/>
          <w:b w:val="false"/>
          <w:bCs w:val="false"/>
          <w:color w:val="000000"/>
          <w:sz w:val="20"/>
          <w:szCs w:val="20"/>
        </w:rPr>
        <w:t>c.1) Os Índices financeiros que deverão ser comprovados são:</w:t>
      </w:r>
    </w:p>
    <w:p>
      <w:pPr>
        <w:pStyle w:val="Standard"/>
        <w:tabs>
          <w:tab w:val="clear" w:pos="708"/>
          <w:tab w:val="left" w:pos="1985" w:leader="none"/>
          <w:tab w:val="left" w:pos="2268" w:leader="none"/>
        </w:tabs>
        <w:spacing w:lineRule="auto" w:line="240"/>
        <w:ind w:hanging="567" w:left="567"/>
        <w:jc w:val="both"/>
        <w:rPr>
          <w:rFonts w:ascii="Verdana" w:hAnsi="Verdana"/>
          <w:sz w:val="20"/>
          <w:szCs w:val="20"/>
        </w:rPr>
      </w:pPr>
      <w:r>
        <w:rPr>
          <w:rFonts w:cs="Verdana" w:ascii="Verdana" w:hAnsi="Verdana"/>
          <w:b w:val="false"/>
          <w:bCs w:val="false"/>
          <w:color w:val="000000"/>
          <w:sz w:val="20"/>
          <w:szCs w:val="20"/>
        </w:rPr>
        <w:tab/>
        <w:t>Índice de Liquidez Geral - ILG igual ou superior a 1,00 (um)</w:t>
      </w:r>
    </w:p>
    <w:p>
      <w:pPr>
        <w:pStyle w:val="Standard"/>
        <w:spacing w:lineRule="auto" w:line="240"/>
        <w:ind w:hanging="567" w:left="567"/>
        <w:jc w:val="both"/>
        <w:rPr>
          <w:rFonts w:ascii="Verdana" w:hAnsi="Verdana"/>
          <w:sz w:val="20"/>
          <w:szCs w:val="20"/>
        </w:rPr>
      </w:pPr>
      <w:r>
        <w:rPr>
          <w:rFonts w:cs="Verdana" w:ascii="Verdana" w:hAnsi="Verdana"/>
          <w:b w:val="false"/>
          <w:bCs w:val="false"/>
          <w:color w:val="000000"/>
          <w:sz w:val="20"/>
          <w:szCs w:val="20"/>
        </w:rPr>
        <w:tab/>
        <w:t>ILG</w:t>
        <w:tab/>
        <w:t xml:space="preserve">= </w:t>
        <w:tab/>
      </w:r>
      <w:r>
        <w:rPr>
          <w:rFonts w:cs="Verdana" w:ascii="Verdana" w:hAnsi="Verdana"/>
          <w:b w:val="false"/>
          <w:bCs w:val="false"/>
          <w:color w:val="000000"/>
          <w:sz w:val="20"/>
          <w:szCs w:val="20"/>
          <w:u w:val="single"/>
        </w:rPr>
        <w:t>Ativo Circulante + Realizável a Longo Prazo</w:t>
      </w:r>
    </w:p>
    <w:p>
      <w:pPr>
        <w:pStyle w:val="Standard"/>
        <w:spacing w:lineRule="auto" w:line="240"/>
        <w:ind w:hanging="567" w:left="567"/>
        <w:jc w:val="both"/>
        <w:rPr>
          <w:rFonts w:ascii="Verdana" w:hAnsi="Verdana"/>
          <w:sz w:val="20"/>
          <w:szCs w:val="20"/>
        </w:rPr>
      </w:pPr>
      <w:r>
        <w:rPr>
          <w:rFonts w:cs="Verdana" w:ascii="Verdana" w:hAnsi="Verdana"/>
          <w:b w:val="false"/>
          <w:bCs w:val="false"/>
          <w:color w:val="000000"/>
          <w:sz w:val="20"/>
          <w:szCs w:val="20"/>
        </w:rPr>
        <w:tab/>
        <w:tab/>
        <w:t xml:space="preserve">          </w:t>
        <w:tab/>
        <w:tab/>
        <w:t>Passivo Circulante + Exigível a Longo Prazo</w:t>
      </w:r>
    </w:p>
    <w:p>
      <w:pPr>
        <w:pStyle w:val="Standard"/>
        <w:spacing w:lineRule="auto" w:line="240"/>
        <w:ind w:hanging="567" w:left="567"/>
        <w:jc w:val="both"/>
        <w:rPr>
          <w:rFonts w:ascii="Verdana" w:hAnsi="Verdana" w:cs="Verdana"/>
          <w:b w:val="false"/>
          <w:bCs w:val="false"/>
          <w:color w:val="000000"/>
          <w:sz w:val="20"/>
          <w:szCs w:val="20"/>
        </w:rPr>
      </w:pPr>
      <w:r>
        <w:rPr>
          <w:rFonts w:cs="Verdana" w:ascii="Verdana" w:hAnsi="Verdana"/>
          <w:b w:val="false"/>
          <w:bCs w:val="false"/>
          <w:color w:val="000000"/>
          <w:sz w:val="20"/>
          <w:szCs w:val="20"/>
        </w:rPr>
      </w:r>
    </w:p>
    <w:p>
      <w:pPr>
        <w:pStyle w:val="Standard"/>
        <w:tabs>
          <w:tab w:val="clear" w:pos="708"/>
          <w:tab w:val="left" w:pos="1985" w:leader="none"/>
          <w:tab w:val="left" w:pos="2268" w:leader="none"/>
        </w:tabs>
        <w:spacing w:lineRule="auto" w:line="240"/>
        <w:ind w:hanging="567" w:left="567"/>
        <w:jc w:val="both"/>
        <w:rPr>
          <w:rFonts w:ascii="Verdana" w:hAnsi="Verdana"/>
          <w:sz w:val="20"/>
          <w:szCs w:val="20"/>
        </w:rPr>
      </w:pPr>
      <w:r>
        <w:rPr>
          <w:rFonts w:cs="Verdana" w:ascii="Verdana" w:hAnsi="Verdana"/>
          <w:b w:val="false"/>
          <w:bCs w:val="false"/>
          <w:color w:val="000000"/>
          <w:sz w:val="20"/>
          <w:szCs w:val="20"/>
        </w:rPr>
        <w:tab/>
        <w:t>Índice de Liquidez Corrente – ILC igual ou superior a 1,00 (um)</w:t>
      </w:r>
    </w:p>
    <w:p>
      <w:pPr>
        <w:pStyle w:val="Standard"/>
        <w:spacing w:lineRule="auto" w:line="240"/>
        <w:ind w:hanging="567" w:left="567"/>
        <w:jc w:val="both"/>
        <w:rPr>
          <w:rFonts w:ascii="Verdana" w:hAnsi="Verdana"/>
          <w:sz w:val="20"/>
          <w:szCs w:val="20"/>
        </w:rPr>
      </w:pPr>
      <w:r>
        <w:rPr>
          <w:rFonts w:cs="Verdana" w:ascii="Verdana" w:hAnsi="Verdana"/>
          <w:b w:val="false"/>
          <w:bCs w:val="false"/>
          <w:color w:val="000000"/>
          <w:sz w:val="20"/>
          <w:szCs w:val="20"/>
        </w:rPr>
        <w:tab/>
        <w:t>ILC</w:t>
        <w:tab/>
        <w:t xml:space="preserve">=     </w:t>
        <w:tab/>
      </w:r>
      <w:r>
        <w:rPr>
          <w:rFonts w:cs="Verdana" w:ascii="Verdana" w:hAnsi="Verdana"/>
          <w:b w:val="false"/>
          <w:bCs w:val="false"/>
          <w:color w:val="000000"/>
          <w:sz w:val="20"/>
          <w:szCs w:val="20"/>
          <w:u w:val="single"/>
        </w:rPr>
        <w:t>Ativo Circulante</w:t>
      </w:r>
    </w:p>
    <w:p>
      <w:pPr>
        <w:pStyle w:val="Standard"/>
        <w:tabs>
          <w:tab w:val="clear" w:pos="708"/>
          <w:tab w:val="left" w:pos="2694" w:leader="none"/>
        </w:tabs>
        <w:spacing w:lineRule="auto" w:line="240"/>
        <w:ind w:hanging="567" w:left="567"/>
        <w:jc w:val="both"/>
        <w:rPr>
          <w:rFonts w:ascii="Verdana" w:hAnsi="Verdana"/>
          <w:sz w:val="20"/>
          <w:szCs w:val="20"/>
        </w:rPr>
      </w:pPr>
      <w:r>
        <w:rPr>
          <w:rFonts w:cs="Verdana" w:ascii="Verdana" w:hAnsi="Verdana"/>
          <w:b w:val="false"/>
          <w:bCs w:val="false"/>
          <w:color w:val="000000"/>
          <w:sz w:val="20"/>
          <w:szCs w:val="20"/>
        </w:rPr>
        <w:tab/>
        <w:tab/>
        <w:t>Passivo Circulante</w:t>
      </w:r>
    </w:p>
    <w:p>
      <w:pPr>
        <w:pStyle w:val="Standard"/>
        <w:spacing w:lineRule="auto" w:line="240"/>
        <w:ind w:hanging="567" w:left="567"/>
        <w:jc w:val="both"/>
        <w:rPr>
          <w:rFonts w:ascii="Verdana" w:hAnsi="Verdana" w:cs="Verdana"/>
          <w:b w:val="false"/>
          <w:bCs w:val="false"/>
          <w:color w:val="000000"/>
          <w:sz w:val="20"/>
          <w:szCs w:val="20"/>
        </w:rPr>
      </w:pPr>
      <w:r>
        <w:rPr>
          <w:rFonts w:cs="Verdana" w:ascii="Verdana" w:hAnsi="Verdana"/>
          <w:b w:val="false"/>
          <w:bCs w:val="false"/>
          <w:color w:val="000000"/>
          <w:sz w:val="20"/>
          <w:szCs w:val="20"/>
        </w:rPr>
      </w:r>
    </w:p>
    <w:p>
      <w:pPr>
        <w:pStyle w:val="Standard"/>
        <w:tabs>
          <w:tab w:val="clear" w:pos="708"/>
          <w:tab w:val="left" w:pos="1985" w:leader="none"/>
          <w:tab w:val="left" w:pos="2268" w:leader="none"/>
        </w:tabs>
        <w:spacing w:lineRule="auto" w:line="240"/>
        <w:ind w:hanging="567" w:left="567"/>
        <w:jc w:val="both"/>
        <w:rPr>
          <w:rFonts w:ascii="Verdana" w:hAnsi="Verdana"/>
          <w:sz w:val="20"/>
          <w:szCs w:val="20"/>
        </w:rPr>
      </w:pPr>
      <w:r>
        <w:rPr>
          <w:rFonts w:cs="Verdana" w:ascii="Verdana" w:hAnsi="Verdana"/>
          <w:b w:val="false"/>
          <w:bCs w:val="false"/>
          <w:color w:val="000000"/>
          <w:sz w:val="20"/>
          <w:szCs w:val="20"/>
        </w:rPr>
        <w:tab/>
        <w:t>Índice de Endividamento Geral – IEG igual ou inferior a 1,00 (um)</w:t>
      </w:r>
    </w:p>
    <w:p>
      <w:pPr>
        <w:pStyle w:val="Standard"/>
        <w:spacing w:lineRule="auto" w:line="240"/>
        <w:ind w:left="567"/>
        <w:jc w:val="both"/>
        <w:rPr>
          <w:rFonts w:ascii="Verdana" w:hAnsi="Verdana"/>
          <w:sz w:val="20"/>
          <w:szCs w:val="20"/>
        </w:rPr>
      </w:pPr>
      <w:r>
        <w:rPr>
          <w:rFonts w:cs="Verdana" w:ascii="Verdana" w:hAnsi="Verdana"/>
          <w:b w:val="false"/>
          <w:bCs w:val="false"/>
          <w:color w:val="000000"/>
          <w:sz w:val="20"/>
          <w:szCs w:val="20"/>
        </w:rPr>
        <w:t>IEG</w:t>
        <w:tab/>
        <w:t xml:space="preserve">= </w:t>
      </w:r>
      <w:r>
        <w:rPr>
          <w:rFonts w:cs="Verdana" w:ascii="Verdana" w:hAnsi="Verdana"/>
          <w:b w:val="false"/>
          <w:bCs w:val="false"/>
          <w:color w:val="000000"/>
          <w:sz w:val="20"/>
          <w:szCs w:val="20"/>
          <w:u w:val="single"/>
        </w:rPr>
        <w:t>Passivo Circulante + Exigível à Longo Prazo</w:t>
      </w:r>
    </w:p>
    <w:p>
      <w:pPr>
        <w:pStyle w:val="Standard"/>
        <w:tabs>
          <w:tab w:val="clear" w:pos="708"/>
          <w:tab w:val="left" w:pos="0" w:leader="none"/>
          <w:tab w:val="left" w:pos="426" w:leader="none"/>
        </w:tabs>
        <w:spacing w:lineRule="auto" w:line="240"/>
        <w:jc w:val="both"/>
        <w:rPr>
          <w:rFonts w:ascii="Verdana" w:hAnsi="Verdana"/>
          <w:sz w:val="20"/>
          <w:szCs w:val="20"/>
        </w:rPr>
      </w:pPr>
      <w:r>
        <w:rPr>
          <w:rFonts w:cs="Verdana" w:ascii="Verdana" w:hAnsi="Verdana"/>
          <w:b w:val="false"/>
          <w:bCs w:val="false"/>
          <w:color w:val="000000"/>
          <w:sz w:val="20"/>
          <w:szCs w:val="20"/>
        </w:rPr>
        <w:tab/>
        <w:t xml:space="preserve">                                  Ativo Total</w:t>
      </w:r>
    </w:p>
    <w:p>
      <w:pPr>
        <w:pStyle w:val="Standard1"/>
        <w:spacing w:lineRule="auto" w:line="240"/>
        <w:jc w:val="both"/>
        <w:rPr>
          <w:rFonts w:ascii="Verdana" w:hAnsi="Verdana"/>
          <w:sz w:val="20"/>
          <w:szCs w:val="20"/>
        </w:rPr>
      </w:pPr>
      <w:r>
        <w:rPr>
          <w:rFonts w:cs="Verdana" w:ascii="Verdana" w:hAnsi="Verdana"/>
          <w:b w:val="false"/>
          <w:bCs w:val="false"/>
          <w:color w:val="000000"/>
          <w:sz w:val="20"/>
          <w:szCs w:val="20"/>
        </w:rPr>
        <w:t xml:space="preserve">c.2) Os licitantes que apresentarem resultado menor do que 1,00 (um), em qualquer dos índices referidos acima, quando de suas habilitações, deverão comprovar </w:t>
      </w:r>
      <w:r>
        <w:rPr>
          <w:rFonts w:cs="Verdana" w:ascii="Verdana" w:hAnsi="Verdana"/>
          <w:b w:val="false"/>
          <w:bCs w:val="false"/>
          <w:color w:val="000000"/>
          <w:sz w:val="20"/>
          <w:szCs w:val="20"/>
          <w:u w:val="single"/>
        </w:rPr>
        <w:t>patrimônio líquido mínimo, na forma  da Lei nº. 14.133/2021;</w:t>
      </w:r>
    </w:p>
    <w:p>
      <w:pPr>
        <w:pStyle w:val="Standard1"/>
        <w:spacing w:lineRule="auto" w:line="240"/>
        <w:jc w:val="both"/>
        <w:rPr>
          <w:rFonts w:ascii="Verdana" w:hAnsi="Verdana"/>
          <w:sz w:val="20"/>
          <w:szCs w:val="20"/>
        </w:rPr>
      </w:pPr>
      <w:r>
        <w:rPr>
          <w:rFonts w:cs="Verdana" w:ascii="Verdana" w:hAnsi="Verdana"/>
          <w:b w:val="false"/>
          <w:bCs w:val="false"/>
          <w:color w:val="000000"/>
          <w:sz w:val="20"/>
          <w:szCs w:val="20"/>
        </w:rPr>
        <w:t>c.3) A comprovação de patrimônio líquido será equivalente a 10% (dez por cento) do valor estimado para contratação, considerado o valor estimado para o período de 12 (doze) meses, conforme determina a Lei nº 14.133/2021, admitida a atualização para a data de apresentação da proposta, por meio de índices oficiais;</w:t>
      </w:r>
    </w:p>
    <w:p>
      <w:pPr>
        <w:pStyle w:val="Standard1"/>
        <w:spacing w:lineRule="auto" w:line="240"/>
        <w:jc w:val="both"/>
        <w:rPr>
          <w:rFonts w:ascii="Verdana" w:hAnsi="Verdana"/>
          <w:sz w:val="20"/>
          <w:szCs w:val="20"/>
        </w:rPr>
      </w:pPr>
      <w:r>
        <w:rPr>
          <w:rFonts w:cs="Verdana" w:ascii="Verdana" w:hAnsi="Verdana"/>
          <w:b w:val="false"/>
          <w:bCs w:val="false"/>
          <w:color w:val="000000"/>
          <w:sz w:val="20"/>
          <w:szCs w:val="20"/>
        </w:rPr>
        <w:t>c.4) A comprovação dos índices referidos no item c.1, bem como do patrimônio líquido aludido no item c.2, deverão se basear nas informações constantes nos documentos listados no item b desta cláusula, constituindo obrigação exclusiva do licitante a apresentação dos cálculos de forma objetiva, sob pena de inabilitação.</w:t>
      </w:r>
    </w:p>
    <w:p>
      <w:pPr>
        <w:pStyle w:val="Standard1"/>
        <w:spacing w:lineRule="auto" w:line="240"/>
        <w:jc w:val="both"/>
        <w:rPr>
          <w:rFonts w:ascii="Verdana" w:hAnsi="Verdana"/>
          <w:sz w:val="20"/>
          <w:szCs w:val="20"/>
        </w:rPr>
      </w:pPr>
      <w:r>
        <w:rPr>
          <w:rFonts w:cs="Verdana" w:ascii="Verdana" w:hAnsi="Verdana"/>
          <w:b w:val="false"/>
          <w:bCs w:val="false"/>
          <w:color w:val="000000"/>
          <w:sz w:val="20"/>
          <w:szCs w:val="20"/>
        </w:rPr>
        <w:t xml:space="preserve">c.5) Caso o objeto contratual venha a ser cumprido por filial do licitante, os documentos exigidos neste item também deverão ser apresentados pela filial executora do contrato, sem prejuízo para a exigência de apresentação dos </w:t>
      </w:r>
      <w:r>
        <w:rPr>
          <w:rFonts w:cs="Verdana" w:ascii="Verdana" w:hAnsi="Verdana"/>
          <w:color w:val="000000"/>
          <w:sz w:val="20"/>
          <w:szCs w:val="20"/>
        </w:rPr>
        <w:t>documentos relativos à sua matriz.</w:t>
      </w:r>
    </w:p>
    <w:p>
      <w:pPr>
        <w:pStyle w:val="Standard1"/>
        <w:spacing w:lineRule="auto" w:line="240"/>
        <w:jc w:val="both"/>
        <w:rPr>
          <w:rFonts w:ascii="Verdana" w:hAnsi="Verdana" w:cs="Verdana"/>
          <w:b/>
          <w:bCs/>
          <w:color w:val="000000"/>
          <w:sz w:val="20"/>
          <w:szCs w:val="20"/>
          <w:u w:val="single"/>
        </w:rPr>
      </w:pPr>
      <w:r>
        <w:rPr>
          <w:rFonts w:cs="Verdana" w:ascii="Verdana" w:hAnsi="Verdana"/>
          <w:b/>
          <w:bCs/>
          <w:color w:val="000000"/>
          <w:sz w:val="20"/>
          <w:szCs w:val="20"/>
          <w:u w:val="single"/>
        </w:rPr>
      </w:r>
    </w:p>
    <w:p>
      <w:pPr>
        <w:pStyle w:val="Standard1"/>
        <w:spacing w:lineRule="auto" w:line="240"/>
        <w:jc w:val="both"/>
        <w:rPr>
          <w:rFonts w:ascii="Verdana" w:hAnsi="Verdana"/>
          <w:sz w:val="20"/>
          <w:szCs w:val="20"/>
        </w:rPr>
      </w:pPr>
      <w:r>
        <w:rPr>
          <w:rFonts w:cs="Verdana" w:ascii="Verdana" w:hAnsi="Verdana"/>
          <w:b/>
          <w:bCs/>
          <w:color w:val="000000"/>
          <w:sz w:val="20"/>
          <w:szCs w:val="20"/>
          <w:u w:val="none"/>
        </w:rPr>
        <w:t xml:space="preserve">10.11 </w:t>
      </w:r>
      <w:r>
        <w:rPr>
          <w:rFonts w:eastAsia="Batang, 바탕" w:cs="Verdana" w:ascii="Verdana" w:hAnsi="Verdana"/>
          <w:b/>
          <w:color w:val="000000"/>
          <w:sz w:val="20"/>
          <w:szCs w:val="20"/>
          <w:u w:val="none"/>
        </w:rPr>
        <w:t>CUMPRIMENTO AO DISPOSTO NO INCISO XXXIII DO ART. 7º DA CONSTITUIÇÃO FEDERAL.</w:t>
      </w:r>
    </w:p>
    <w:p>
      <w:pPr>
        <w:pStyle w:val="Normal"/>
        <w:spacing w:lineRule="auto" w:line="240"/>
        <w:jc w:val="both"/>
        <w:rPr>
          <w:rFonts w:ascii="Verdana" w:hAnsi="Verdana"/>
          <w:sz w:val="20"/>
          <w:szCs w:val="20"/>
        </w:rPr>
      </w:pPr>
      <w:r>
        <w:rPr>
          <w:rFonts w:eastAsia="Batang, 바탕" w:cs="Verdana" w:ascii="Verdana" w:hAnsi="Verdana"/>
          <w:b w:val="false"/>
          <w:bCs w:val="false"/>
          <w:color w:val="000000"/>
          <w:sz w:val="20"/>
          <w:szCs w:val="20"/>
        </w:rPr>
        <w:t xml:space="preserve">a) </w:t>
      </w:r>
      <w:r>
        <w:rPr>
          <w:rFonts w:eastAsia="Arial" w:cs="Verdana" w:ascii="Verdana" w:hAnsi="Verdana"/>
          <w:b w:val="false"/>
          <w:bCs w:val="false"/>
          <w:color w:val="000000"/>
          <w:sz w:val="20"/>
          <w:szCs w:val="20"/>
        </w:rPr>
        <w:t>Declaração de que a empresa não possui em seu quadro funcional, empregados menores</w:t>
      </w:r>
      <w:r>
        <w:rPr>
          <w:rFonts w:eastAsia="Arial" w:cs="Verdana" w:ascii="Verdana" w:hAnsi="Verdana"/>
          <w:color w:val="000000"/>
          <w:sz w:val="20"/>
          <w:szCs w:val="20"/>
        </w:rPr>
        <w:t xml:space="preserve"> de 18 anos atuando em trabalho noturno, perigoso ou insalubre e ainda que não possua menores de 16 anos trabalhando na empresa, salvo no caso de aprendiz que somente poderá ocorrer a partir dos 14 anos de idade.</w:t>
      </w:r>
    </w:p>
    <w:p>
      <w:pPr>
        <w:pStyle w:val="Normal"/>
        <w:spacing w:lineRule="auto" w:line="240"/>
        <w:ind w:hanging="0" w:left="0" w:right="0"/>
        <w:jc w:val="both"/>
        <w:rPr>
          <w:rFonts w:ascii="Verdana" w:hAnsi="Verdana"/>
          <w:iCs/>
          <w:sz w:val="20"/>
          <w:szCs w:val="20"/>
          <w:shd w:fill="auto" w:val="clear"/>
        </w:rPr>
      </w:pPr>
      <w:r>
        <w:rPr>
          <w:rFonts w:ascii="Verdana" w:hAnsi="Verdana"/>
          <w:iCs/>
          <w:sz w:val="20"/>
          <w:szCs w:val="20"/>
          <w:shd w:fill="auto" w:val="clear"/>
        </w:rPr>
      </w:r>
    </w:p>
    <w:p>
      <w:pPr>
        <w:pStyle w:val="Normal"/>
        <w:tabs>
          <w:tab w:val="clear" w:pos="708"/>
          <w:tab w:val="left" w:pos="3390" w:leader="none"/>
          <w:tab w:val="center" w:pos="5032" w:leader="none"/>
        </w:tabs>
        <w:spacing w:lineRule="auto" w:line="240"/>
        <w:jc w:val="both"/>
        <w:rPr>
          <w:rFonts w:ascii="Verdana" w:hAnsi="Verdana"/>
          <w:sz w:val="20"/>
          <w:szCs w:val="20"/>
        </w:rPr>
      </w:pPr>
      <w:r>
        <w:rPr>
          <w:rFonts w:eastAsia="Arial" w:ascii="Verdana" w:hAnsi="Verdana"/>
          <w:b/>
          <w:bCs/>
          <w:sz w:val="20"/>
          <w:szCs w:val="20"/>
        </w:rPr>
        <w:t>12. CONTRATAÇÕES CORRELATAS E/OU INTERDEPENDENTES</w:t>
      </w:r>
    </w:p>
    <w:p>
      <w:pPr>
        <w:pStyle w:val="Normal"/>
        <w:tabs>
          <w:tab w:val="clear" w:pos="708"/>
          <w:tab w:val="left" w:pos="3390" w:leader="none"/>
          <w:tab w:val="center" w:pos="5032" w:leader="none"/>
        </w:tabs>
        <w:spacing w:lineRule="auto" w:line="240"/>
        <w:jc w:val="both"/>
        <w:rPr>
          <w:rFonts w:ascii="Verdana" w:hAnsi="Verdana"/>
          <w:sz w:val="20"/>
          <w:szCs w:val="20"/>
        </w:rPr>
      </w:pPr>
      <w:r>
        <w:rPr>
          <w:rFonts w:eastAsia="Arial" w:ascii="Verdana" w:hAnsi="Verdana"/>
          <w:bCs/>
          <w:sz w:val="20"/>
          <w:szCs w:val="20"/>
        </w:rPr>
        <w:t xml:space="preserve">12.1. Inexistem contratações correlatas que comprometam a viabilidade desta solução. A reforma possui </w:t>
      </w:r>
      <w:r>
        <w:rPr>
          <w:rFonts w:eastAsia="Arial" w:ascii="Verdana" w:hAnsi="Verdana"/>
          <w:b/>
          <w:bCs/>
          <w:sz w:val="20"/>
          <w:szCs w:val="20"/>
        </w:rPr>
        <w:t>independência funcional</w:t>
      </w:r>
      <w:r>
        <w:rPr>
          <w:rFonts w:eastAsia="Arial" w:ascii="Verdana" w:hAnsi="Verdana"/>
          <w:bCs/>
          <w:sz w:val="20"/>
          <w:szCs w:val="20"/>
        </w:rPr>
        <w:t>, permitindo que a execução das obras e a impermeabilização ocorram de forma isolada, em observância aos princípios da eficiência e celeridade, garantindo a entrega do objeto completo sem dependência de outros certames.</w:t>
      </w:r>
    </w:p>
    <w:p>
      <w:pPr>
        <w:pStyle w:val="Normal"/>
        <w:tabs>
          <w:tab w:val="clear" w:pos="708"/>
          <w:tab w:val="left" w:pos="3390" w:leader="none"/>
          <w:tab w:val="center" w:pos="5032" w:leader="none"/>
        </w:tabs>
        <w:spacing w:lineRule="auto" w:line="240"/>
        <w:jc w:val="both"/>
        <w:rPr>
          <w:rFonts w:ascii="Verdana" w:hAnsi="Verdana"/>
          <w:sz w:val="20"/>
          <w:szCs w:val="20"/>
        </w:rPr>
      </w:pPr>
      <w:r>
        <w:rPr>
          <w:rFonts w:ascii="Verdana" w:hAnsi="Verdana"/>
          <w:sz w:val="20"/>
          <w:szCs w:val="20"/>
        </w:rPr>
      </w:r>
    </w:p>
    <w:p>
      <w:pPr>
        <w:pStyle w:val="Normal"/>
        <w:tabs>
          <w:tab w:val="clear" w:pos="708"/>
          <w:tab w:val="left" w:pos="3390" w:leader="none"/>
          <w:tab w:val="center" w:pos="5032" w:leader="none"/>
        </w:tabs>
        <w:spacing w:lineRule="auto" w:line="240"/>
        <w:jc w:val="both"/>
        <w:rPr>
          <w:rFonts w:ascii="Verdana" w:hAnsi="Verdana"/>
          <w:sz w:val="20"/>
          <w:szCs w:val="20"/>
        </w:rPr>
      </w:pPr>
      <w:r>
        <w:rPr>
          <w:rFonts w:eastAsia="Arial" w:ascii="Verdana" w:hAnsi="Verdana"/>
          <w:b/>
          <w:bCs/>
          <w:sz w:val="20"/>
          <w:szCs w:val="20"/>
        </w:rPr>
        <w:t>13. RESULTADOS PRETENDIDOS COM A CONTRATAÇÃO</w:t>
      </w:r>
    </w:p>
    <w:p>
      <w:pPr>
        <w:pStyle w:val="Normal"/>
        <w:tabs>
          <w:tab w:val="clear" w:pos="708"/>
          <w:tab w:val="left" w:pos="3390" w:leader="none"/>
          <w:tab w:val="center" w:pos="5032" w:leader="none"/>
        </w:tabs>
        <w:spacing w:lineRule="auto" w:line="240"/>
        <w:jc w:val="both"/>
        <w:rPr>
          <w:rFonts w:ascii="Verdana" w:hAnsi="Verdana"/>
          <w:sz w:val="20"/>
          <w:szCs w:val="20"/>
        </w:rPr>
      </w:pPr>
      <w:r>
        <w:rPr>
          <w:rFonts w:eastAsia="Arial" w:ascii="Verdana" w:hAnsi="Verdana"/>
          <w:b w:val="false"/>
          <w:bCs w:val="false"/>
          <w:sz w:val="20"/>
          <w:szCs w:val="20"/>
        </w:rPr>
        <w:t xml:space="preserve">13.1 O principal resultado pretendido é a </w:t>
      </w:r>
      <w:r>
        <w:rPr>
          <w:rFonts w:eastAsia="Arial" w:ascii="Verdana" w:hAnsi="Verdana"/>
          <w:b/>
          <w:bCs/>
          <w:sz w:val="20"/>
          <w:szCs w:val="20"/>
        </w:rPr>
        <w:t>preservação do patrimônio público e a garantia da segurança estrutural</w:t>
      </w:r>
      <w:r>
        <w:rPr>
          <w:rFonts w:eastAsia="Arial" w:ascii="Verdana" w:hAnsi="Verdana"/>
          <w:b w:val="false"/>
          <w:bCs w:val="false"/>
          <w:sz w:val="20"/>
          <w:szCs w:val="20"/>
        </w:rPr>
        <w:t xml:space="preserve"> da EMEIC Francisco José Mattedi. Ao realizar a impermeabilização do telhado, a reforma do piso e a construção de sanitários, a Administração alcançará:</w:t>
      </w:r>
    </w:p>
    <w:p>
      <w:pPr>
        <w:pStyle w:val="Normal"/>
        <w:numPr>
          <w:ilvl w:val="0"/>
          <w:numId w:val="3"/>
        </w:numPr>
        <w:spacing w:lineRule="auto" w:line="240"/>
        <w:jc w:val="both"/>
        <w:rPr>
          <w:rFonts w:ascii="Verdana" w:hAnsi="Verdana"/>
          <w:sz w:val="20"/>
          <w:szCs w:val="20"/>
        </w:rPr>
      </w:pPr>
      <w:r>
        <w:rPr>
          <w:rFonts w:ascii="Verdana" w:hAnsi="Verdana"/>
          <w:b/>
          <w:bCs/>
          <w:sz w:val="20"/>
          <w:szCs w:val="20"/>
        </w:rPr>
        <w:t>Salubridade Escolar:</w:t>
      </w:r>
      <w:r>
        <w:rPr>
          <w:rFonts w:ascii="Verdana" w:hAnsi="Verdana"/>
          <w:sz w:val="20"/>
          <w:szCs w:val="20"/>
        </w:rPr>
        <w:t xml:space="preserve"> Eliminação de infiltrações e focos de umidade que geram bolor e mofo, protegendo a saúde respiratória de alunos e servidores;</w:t>
      </w:r>
    </w:p>
    <w:p>
      <w:pPr>
        <w:pStyle w:val="Normal"/>
        <w:numPr>
          <w:ilvl w:val="0"/>
          <w:numId w:val="3"/>
        </w:numPr>
        <w:spacing w:lineRule="auto" w:line="240"/>
        <w:jc w:val="both"/>
        <w:rPr>
          <w:rFonts w:ascii="Verdana" w:hAnsi="Verdana"/>
          <w:sz w:val="20"/>
          <w:szCs w:val="20"/>
        </w:rPr>
      </w:pPr>
      <w:r>
        <w:rPr>
          <w:rFonts w:ascii="Verdana" w:hAnsi="Verdana"/>
          <w:b/>
          <w:bCs/>
          <w:sz w:val="20"/>
          <w:szCs w:val="20"/>
        </w:rPr>
        <w:t>Segurança Física:</w:t>
      </w:r>
      <w:r>
        <w:rPr>
          <w:rFonts w:ascii="Verdana" w:hAnsi="Verdana"/>
          <w:sz w:val="20"/>
          <w:szCs w:val="20"/>
        </w:rPr>
        <w:t xml:space="preserve"> Mitigação do risco de quedas e acidentes na área de serviço através do nivelamento do piso e uso de revestimento antiderrapante;</w:t>
      </w:r>
    </w:p>
    <w:p>
      <w:pPr>
        <w:pStyle w:val="Normal"/>
        <w:numPr>
          <w:ilvl w:val="0"/>
          <w:numId w:val="3"/>
        </w:numPr>
        <w:spacing w:lineRule="auto" w:line="240"/>
        <w:jc w:val="both"/>
        <w:rPr>
          <w:rFonts w:ascii="Verdana" w:hAnsi="Verdana"/>
          <w:sz w:val="20"/>
          <w:szCs w:val="20"/>
        </w:rPr>
      </w:pPr>
      <w:r>
        <w:rPr>
          <w:rFonts w:ascii="Verdana" w:hAnsi="Verdana"/>
          <w:b/>
          <w:bCs/>
          <w:sz w:val="20"/>
          <w:szCs w:val="20"/>
        </w:rPr>
        <w:t>Bem-estar e Dignidade:</w:t>
      </w:r>
      <w:r>
        <w:rPr>
          <w:rFonts w:ascii="Verdana" w:hAnsi="Verdana"/>
          <w:sz w:val="20"/>
          <w:szCs w:val="20"/>
        </w:rPr>
        <w:t xml:space="preserve"> Melhoria nas condições de trabalho e estudo com a oferta de instalações sanitárias adequadas e próximas à área pedagógica;</w:t>
      </w:r>
    </w:p>
    <w:p>
      <w:pPr>
        <w:pStyle w:val="Normal"/>
        <w:tabs>
          <w:tab w:val="clear" w:pos="708"/>
          <w:tab w:val="left" w:pos="3390" w:leader="none"/>
          <w:tab w:val="center" w:pos="5032" w:leader="none"/>
        </w:tabs>
        <w:spacing w:lineRule="auto" w:line="240"/>
        <w:jc w:val="both"/>
        <w:rPr>
          <w:rFonts w:ascii="Verdana" w:hAnsi="Verdana"/>
          <w:sz w:val="20"/>
          <w:szCs w:val="20"/>
        </w:rPr>
      </w:pPr>
      <w:r>
        <w:rPr>
          <w:rFonts w:eastAsia="Arial" w:ascii="Verdana" w:hAnsi="Verdana"/>
          <w:b/>
          <w:bCs/>
          <w:sz w:val="20"/>
          <w:szCs w:val="20"/>
        </w:rPr>
        <w:t>Eficiência Orçamentária:</w:t>
      </w:r>
      <w:r>
        <w:rPr>
          <w:rFonts w:eastAsia="Arial" w:ascii="Verdana" w:hAnsi="Verdana"/>
          <w:b w:val="false"/>
          <w:bCs w:val="false"/>
          <w:sz w:val="20"/>
          <w:szCs w:val="20"/>
        </w:rPr>
        <w:t xml:space="preserve"> Proteção do estoque de merenda escolar e materiais didáticos contra danos causados por goteiras, evitando desperdício de recursos públicos.</w:t>
      </w:r>
    </w:p>
    <w:p>
      <w:pPr>
        <w:pStyle w:val="Normal"/>
        <w:tabs>
          <w:tab w:val="clear" w:pos="708"/>
          <w:tab w:val="left" w:pos="3390" w:leader="none"/>
          <w:tab w:val="center" w:pos="5032" w:leader="none"/>
        </w:tabs>
        <w:spacing w:lineRule="auto" w:line="240"/>
        <w:jc w:val="both"/>
        <w:rPr>
          <w:rFonts w:ascii="Verdana" w:hAnsi="Verdana"/>
          <w:sz w:val="20"/>
          <w:szCs w:val="20"/>
        </w:rPr>
      </w:pPr>
      <w:r>
        <w:rPr>
          <w:rFonts w:ascii="Verdana" w:hAnsi="Verdana"/>
          <w:sz w:val="20"/>
          <w:szCs w:val="20"/>
        </w:rPr>
      </w:r>
    </w:p>
    <w:p>
      <w:pPr>
        <w:pStyle w:val="Normal"/>
        <w:tabs>
          <w:tab w:val="clear" w:pos="708"/>
          <w:tab w:val="left" w:pos="3390" w:leader="none"/>
          <w:tab w:val="center" w:pos="5032" w:leader="none"/>
        </w:tabs>
        <w:spacing w:lineRule="auto" w:line="240"/>
        <w:jc w:val="both"/>
        <w:rPr>
          <w:rFonts w:ascii="Verdana" w:hAnsi="Verdana"/>
          <w:sz w:val="20"/>
          <w:szCs w:val="20"/>
        </w:rPr>
      </w:pPr>
      <w:r>
        <w:rPr>
          <w:rFonts w:eastAsia="Arial" w:ascii="Verdana" w:hAnsi="Verdana"/>
          <w:b/>
          <w:bCs/>
          <w:sz w:val="20"/>
          <w:szCs w:val="20"/>
        </w:rPr>
        <w:t>14. DECLARAÇÃO DA VIABILIDADE</w:t>
      </w:r>
    </w:p>
    <w:p>
      <w:pPr>
        <w:pStyle w:val="Normal"/>
        <w:spacing w:lineRule="auto" w:line="240"/>
        <w:jc w:val="both"/>
        <w:rPr>
          <w:rFonts w:ascii="Verdana" w:hAnsi="Verdana"/>
          <w:sz w:val="20"/>
          <w:szCs w:val="20"/>
        </w:rPr>
      </w:pPr>
      <w:r>
        <w:rPr>
          <w:rFonts w:ascii="Verdana" w:hAnsi="Verdana"/>
          <w:sz w:val="20"/>
          <w:szCs w:val="20"/>
        </w:rPr>
        <w:t>14.1. Com base nas análises técnicas, logísticas e econômicas registradas neste Estudo Técnico Preliminar, a equipe de planejamento declara a viabilidade plena da contratação.</w:t>
      </w:r>
    </w:p>
    <w:p>
      <w:pPr>
        <w:pStyle w:val="Normal"/>
        <w:spacing w:lineRule="auto" w:line="240"/>
        <w:jc w:val="both"/>
        <w:rPr>
          <w:rFonts w:ascii="Verdana" w:hAnsi="Verdana"/>
          <w:sz w:val="20"/>
          <w:szCs w:val="20"/>
        </w:rPr>
      </w:pPr>
      <w:r>
        <w:rPr>
          <w:rFonts w:ascii="Verdana" w:hAnsi="Verdana"/>
          <w:sz w:val="20"/>
          <w:szCs w:val="20"/>
        </w:rPr>
        <w:t>14.2. A solução proposta (Reforma, Construção e Impermeabilização) mostra-se adequada e necessária para o atendimento do interesse público, apresentando o melhor custo-benefício e alinhamento com os princípios da eficiência, segurança patrimonial e continuidade do serviço público. Diante do exposto, e em conformidade com o Art. 18, § 1º, inciso XIII, da Lei nº 14.133/2021, esta equipe técnica recomenda o prosseguimento do feito para a fase de elaboração do Termo de Referência.</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b/>
          <w:bCs/>
          <w:sz w:val="20"/>
          <w:szCs w:val="20"/>
        </w:rPr>
        <w:t>15.1. JUSTIFICATIVA DA VIABILIDADE</w:t>
      </w:r>
    </w:p>
    <w:p>
      <w:pPr>
        <w:pStyle w:val="Normal"/>
        <w:spacing w:lineRule="auto" w:line="240"/>
        <w:jc w:val="both"/>
        <w:rPr>
          <w:rFonts w:ascii="Verdana" w:hAnsi="Verdana"/>
          <w:sz w:val="20"/>
          <w:szCs w:val="20"/>
        </w:rPr>
      </w:pPr>
      <w:r>
        <w:rPr>
          <w:rFonts w:ascii="Verdana" w:hAnsi="Verdana"/>
          <w:sz w:val="20"/>
          <w:szCs w:val="20"/>
        </w:rPr>
        <w:t>15.1.1. A contratação fundamenta-se na necessidade imperativa de assegurar condições adequadas de salubridade, segurança e bem-estar dos alunos e servidores na unidade escolar rural. O objeto consiste na execução de obras de engenharia para construção de sanitários, reforma de piso e impermeabilização técnica do telhado, abrangendo o fornecimento integral de materiais e mão de obra qualificada.</w:t>
      </w:r>
    </w:p>
    <w:p>
      <w:pPr>
        <w:pStyle w:val="Normal"/>
        <w:spacing w:lineRule="auto" w:line="240"/>
        <w:jc w:val="both"/>
        <w:rPr>
          <w:rFonts w:ascii="Verdana" w:hAnsi="Verdana"/>
          <w:sz w:val="20"/>
          <w:szCs w:val="20"/>
        </w:rPr>
      </w:pPr>
      <w:r>
        <w:rPr>
          <w:rFonts w:ascii="Verdana" w:hAnsi="Verdana"/>
          <w:sz w:val="20"/>
          <w:szCs w:val="20"/>
        </w:rPr>
        <w:t>15.1.2. A execução em etapa única, com garantia técnica de 05 (cinco) anos, justifica-se pela urgência em sanar infiltrações que comprometem a saúde respiratória e a integridade física da comunidade escolar, além de proteger o estoque de merenda e materiais didáticos. A contratação é considerada essencial e estratégica para a manutenção da infraestrutura educacional do município de São Gabriel da Palha.</w:t>
      </w:r>
    </w:p>
    <w:p>
      <w:pPr>
        <w:pStyle w:val="Normal"/>
        <w:spacing w:lineRule="auto" w:line="240"/>
        <w:jc w:val="both"/>
        <w:rPr>
          <w:rFonts w:ascii="Verdana" w:hAnsi="Verdana"/>
          <w:sz w:val="20"/>
          <w:szCs w:val="20"/>
        </w:rPr>
      </w:pPr>
      <w:r>
        <w:rPr>
          <w:rFonts w:ascii="Verdana" w:hAnsi="Verdana"/>
          <w:sz w:val="20"/>
          <w:szCs w:val="20"/>
        </w:rPr>
      </w:r>
    </w:p>
    <w:p>
      <w:pPr>
        <w:pStyle w:val="normal1"/>
        <w:spacing w:lineRule="auto" w:line="240" w:before="0" w:after="0"/>
        <w:jc w:val="both"/>
        <w:rPr>
          <w:rFonts w:ascii="Verdana" w:hAnsi="Verdana"/>
          <w:sz w:val="20"/>
          <w:szCs w:val="20"/>
        </w:rPr>
      </w:pPr>
      <w:r>
        <w:rPr>
          <w:rFonts w:ascii="Verdana" w:hAnsi="Verdana"/>
          <w:b/>
          <w:sz w:val="20"/>
          <w:szCs w:val="20"/>
        </w:rPr>
        <w:t>16. PROVIDÊNCIAS A SEREM ADOTADAS</w:t>
      </w:r>
    </w:p>
    <w:p>
      <w:pPr>
        <w:pStyle w:val="NormalWeb"/>
        <w:spacing w:lineRule="auto" w:line="240" w:beforeAutospacing="0" w:before="0" w:afterAutospacing="0" w:after="0"/>
        <w:jc w:val="both"/>
        <w:rPr>
          <w:rFonts w:ascii="Verdana" w:hAnsi="Verdana"/>
          <w:sz w:val="20"/>
          <w:szCs w:val="20"/>
        </w:rPr>
      </w:pPr>
      <w:r>
        <w:rPr>
          <w:rFonts w:ascii="Verdana" w:hAnsi="Verdana"/>
          <w:b/>
          <w:bCs/>
          <w:sz w:val="20"/>
          <w:szCs w:val="20"/>
        </w:rPr>
        <w:t>16.1. Gestão e Fiscalização do Contrato:</w:t>
      </w:r>
      <w:r>
        <w:rPr>
          <w:rFonts w:ascii="Verdana" w:hAnsi="Verdana"/>
          <w:sz w:val="20"/>
          <w:szCs w:val="20"/>
        </w:rPr>
        <w:t xml:space="preserve"> Em cumprimento ao art. 117 da Lei nº 14.133/2021, a Secretaria Municipal de Educação designará, por meio de ato oficial, agente público para atuar como </w:t>
      </w:r>
      <w:r>
        <w:rPr>
          <w:rFonts w:ascii="Verdana" w:hAnsi="Verdana"/>
          <w:b/>
          <w:bCs/>
          <w:sz w:val="20"/>
          <w:szCs w:val="20"/>
        </w:rPr>
        <w:t>Fiscal Administrativo</w:t>
      </w:r>
      <w:r>
        <w:rPr>
          <w:rFonts w:ascii="Verdana" w:hAnsi="Verdana"/>
          <w:sz w:val="20"/>
          <w:szCs w:val="20"/>
        </w:rPr>
        <w:t xml:space="preserve"> (acompanhamento de prazos e pagamentos) e, obrigatoriamente, um </w:t>
      </w:r>
      <w:r>
        <w:rPr>
          <w:rFonts w:ascii="Verdana" w:hAnsi="Verdana"/>
          <w:b/>
          <w:bCs/>
          <w:sz w:val="20"/>
          <w:szCs w:val="20"/>
        </w:rPr>
        <w:t>Fiscal Técnico (Engenheiro)</w:t>
      </w:r>
      <w:r>
        <w:rPr>
          <w:rFonts w:ascii="Verdana" w:hAnsi="Verdana"/>
          <w:sz w:val="20"/>
          <w:szCs w:val="20"/>
        </w:rPr>
        <w:t xml:space="preserve"> para atestar a qualidade da obra. Estes servidores serão responsáveis pelo acompanhamento de todas as etapas, registro em ata de ocorrências e pela medição técnica dos serviços (impermeabilização, construção e piso) antes do ateste das faturas.</w:t>
      </w:r>
    </w:p>
    <w:p>
      <w:pPr>
        <w:pStyle w:val="NormalWeb"/>
        <w:spacing w:lineRule="auto" w:line="240" w:beforeAutospacing="0" w:before="0" w:afterAutospacing="0" w:after="0"/>
        <w:jc w:val="both"/>
        <w:rPr>
          <w:rFonts w:ascii="Verdana" w:hAnsi="Verdana"/>
          <w:sz w:val="20"/>
          <w:szCs w:val="20"/>
        </w:rPr>
      </w:pPr>
      <w:r>
        <w:rPr>
          <w:rFonts w:ascii="Verdana" w:hAnsi="Verdana"/>
          <w:b/>
          <w:bCs/>
          <w:sz w:val="20"/>
          <w:szCs w:val="20"/>
        </w:rPr>
        <w:t>16.2. Monitoramento e Controle de Qualidade:</w:t>
      </w:r>
      <w:r>
        <w:rPr>
          <w:rFonts w:ascii="Verdana" w:hAnsi="Verdana"/>
          <w:sz w:val="20"/>
          <w:szCs w:val="20"/>
        </w:rPr>
        <w:t xml:space="preserve"> Serão adotados protocolos rígidos de monitoramento para garantir que a contratada utilize os materiais especificados (conforme normas da ABNT) e que a equipe técnica utilize todos os </w:t>
      </w:r>
      <w:r>
        <w:rPr>
          <w:rFonts w:ascii="Verdana" w:hAnsi="Verdana"/>
          <w:b/>
          <w:bCs/>
          <w:sz w:val="20"/>
          <w:szCs w:val="20"/>
        </w:rPr>
        <w:t>EPIs (Equipamentos de Proteção Individual)</w:t>
      </w:r>
      <w:r>
        <w:rPr>
          <w:rFonts w:ascii="Verdana" w:hAnsi="Verdana"/>
          <w:sz w:val="20"/>
          <w:szCs w:val="20"/>
        </w:rPr>
        <w:t xml:space="preserve">, com especial atenção à </w:t>
      </w:r>
      <w:r>
        <w:rPr>
          <w:rFonts w:ascii="Verdana" w:hAnsi="Verdana"/>
          <w:b/>
          <w:bCs/>
          <w:sz w:val="20"/>
          <w:szCs w:val="20"/>
        </w:rPr>
        <w:t>NR-35 (Trabalho em Altura)</w:t>
      </w:r>
      <w:r>
        <w:rPr>
          <w:rFonts w:ascii="Verdana" w:hAnsi="Verdana"/>
          <w:sz w:val="20"/>
          <w:szCs w:val="20"/>
        </w:rPr>
        <w:t xml:space="preserve"> para a reforma do telhado. Qualquer irregularidade será formalmente comunicada para correção imediata, sob pena de sanções administrativas conforme os arts. 155 e seguintes da Lei nº 14.133/2021.</w:t>
      </w:r>
    </w:p>
    <w:p>
      <w:pPr>
        <w:pStyle w:val="NormalWeb"/>
        <w:spacing w:lineRule="auto" w:line="240" w:beforeAutospacing="0" w:before="0" w:afterAutospacing="0" w:after="0"/>
        <w:jc w:val="both"/>
        <w:rPr>
          <w:rFonts w:ascii="Verdana" w:hAnsi="Verdana"/>
          <w:sz w:val="20"/>
          <w:szCs w:val="20"/>
        </w:rPr>
      </w:pPr>
      <w:r>
        <w:rPr>
          <w:rFonts w:ascii="Verdana" w:hAnsi="Verdana"/>
          <w:b/>
          <w:bCs/>
          <w:sz w:val="20"/>
          <w:szCs w:val="20"/>
        </w:rPr>
        <w:t>16.3. Garantia e Continuidade:</w:t>
      </w:r>
      <w:r>
        <w:rPr>
          <w:rFonts w:ascii="Verdana" w:hAnsi="Verdana"/>
          <w:sz w:val="20"/>
          <w:szCs w:val="20"/>
        </w:rPr>
        <w:t xml:space="preserve"> Em caso de inexecução ou defeitos constatados após a obra (como vazamentos persistentes), a Administração notificará a empresa para reparo imediato sob o amparo da </w:t>
      </w:r>
      <w:r>
        <w:rPr>
          <w:rFonts w:ascii="Verdana" w:hAnsi="Verdana"/>
          <w:b/>
          <w:bCs/>
          <w:sz w:val="20"/>
          <w:szCs w:val="20"/>
        </w:rPr>
        <w:t>Garantia de 05 (cinco) anos</w:t>
      </w:r>
      <w:r>
        <w:rPr>
          <w:rFonts w:ascii="Verdana" w:hAnsi="Verdana"/>
          <w:sz w:val="20"/>
          <w:szCs w:val="20"/>
        </w:rPr>
        <w:t>. Caso haja rescisão contratual, a Administração convocará os licitantes remanescentes ou adotará medidas emergenciais para preservar a integridade física dos alunos e a continuidade das aulas na unidade rural.</w:t>
      </w:r>
    </w:p>
    <w:p>
      <w:pPr>
        <w:pStyle w:val="NormalWeb"/>
        <w:spacing w:lineRule="auto" w:line="240" w:beforeAutospacing="0" w:before="0" w:afterAutospacing="0" w:after="0"/>
        <w:jc w:val="both"/>
        <w:rPr>
          <w:rFonts w:ascii="Verdana" w:hAnsi="Verdana"/>
          <w:sz w:val="20"/>
          <w:szCs w:val="20"/>
        </w:rPr>
      </w:pPr>
      <w:r>
        <w:rPr>
          <w:rFonts w:ascii="Verdana" w:hAnsi="Verdana"/>
          <w:b/>
          <w:bCs/>
          <w:sz w:val="20"/>
          <w:szCs w:val="20"/>
        </w:rPr>
        <w:t>16.4. Logística de Acesso e Segurança Escolar:</w:t>
      </w:r>
      <w:r>
        <w:rPr>
          <w:rFonts w:ascii="Verdana" w:hAnsi="Verdana"/>
          <w:sz w:val="20"/>
          <w:szCs w:val="20"/>
        </w:rPr>
        <w:t xml:space="preserve"> A Secretaria garantirá o acesso da equipe técnica à escola na Vila Fartura (23 km da sede), desde que previamente agendado. A empresa deverá manter o canteiro de obras isolado e sinalizado, garantindo que o cronograma de construção e reforma seja cumprido </w:t>
      </w:r>
      <w:r>
        <w:rPr>
          <w:rFonts w:ascii="Verdana" w:hAnsi="Verdana"/>
          <w:b/>
          <w:bCs/>
          <w:sz w:val="20"/>
          <w:szCs w:val="20"/>
        </w:rPr>
        <w:t>sem prejuízo à segurança dos alunos e ao calendário letivo</w:t>
      </w:r>
      <w:r>
        <w:rPr>
          <w:rFonts w:ascii="Verdana" w:hAnsi="Verdana"/>
          <w:sz w:val="20"/>
          <w:szCs w:val="20"/>
        </w:rPr>
        <w:t>.</w:t>
      </w:r>
    </w:p>
    <w:p>
      <w:pPr>
        <w:pStyle w:val="NormalWeb"/>
        <w:spacing w:lineRule="auto" w:line="240" w:beforeAutospacing="0" w:before="0" w:afterAutospacing="0" w:after="0"/>
        <w:jc w:val="both"/>
        <w:rPr>
          <w:rFonts w:ascii="Verdana" w:hAnsi="Verdana"/>
          <w:sz w:val="20"/>
          <w:szCs w:val="20"/>
        </w:rPr>
      </w:pPr>
      <w:r>
        <w:rPr>
          <w:rFonts w:ascii="Verdana" w:hAnsi="Verdana"/>
          <w:sz w:val="20"/>
          <w:szCs w:val="20"/>
        </w:rPr>
      </w:r>
    </w:p>
    <w:p>
      <w:pPr>
        <w:pStyle w:val="NormalWeb"/>
        <w:spacing w:lineRule="auto" w:line="240" w:beforeAutospacing="0" w:before="0" w:afterAutospacing="0" w:after="0"/>
        <w:jc w:val="both"/>
        <w:rPr>
          <w:rFonts w:ascii="Verdana" w:hAnsi="Verdana"/>
          <w:sz w:val="20"/>
          <w:szCs w:val="20"/>
        </w:rPr>
      </w:pPr>
      <w:r>
        <w:rPr>
          <w:rFonts w:ascii="Verdana" w:hAnsi="Verdana"/>
          <w:b/>
          <w:bCs/>
          <w:sz w:val="20"/>
          <w:szCs w:val="20"/>
        </w:rPr>
        <w:t>17. POSSÍVEIS IMPACTOS AMBIENTAIS</w:t>
      </w:r>
    </w:p>
    <w:p>
      <w:pPr>
        <w:pStyle w:val="Normal"/>
        <w:spacing w:lineRule="auto" w:line="240"/>
        <w:jc w:val="both"/>
        <w:rPr>
          <w:rFonts w:ascii="Verdana" w:hAnsi="Verdana"/>
          <w:sz w:val="20"/>
          <w:szCs w:val="20"/>
        </w:rPr>
      </w:pPr>
      <w:r>
        <w:rPr>
          <w:rFonts w:ascii="Verdana" w:hAnsi="Verdana"/>
          <w:b/>
          <w:bCs/>
          <w:sz w:val="20"/>
          <w:szCs w:val="20"/>
        </w:rPr>
        <w:t>17.1. Avaliação de Impactos:</w:t>
      </w:r>
      <w:r>
        <w:rPr>
          <w:rFonts w:ascii="Verdana" w:hAnsi="Verdana"/>
          <w:sz w:val="20"/>
          <w:szCs w:val="20"/>
        </w:rPr>
        <w:t xml:space="preserve"> A execução das obras de reforma e impermeabilização apresenta impactos ambientais moderados e localizados, típicos da construção civil. Os principais pontos de atenção são a geração de </w:t>
      </w:r>
      <w:r>
        <w:rPr>
          <w:rFonts w:ascii="Verdana" w:hAnsi="Verdana"/>
          <w:b/>
          <w:bCs/>
          <w:sz w:val="20"/>
          <w:szCs w:val="20"/>
        </w:rPr>
        <w:t>Resíduos da Construção Civil (RCC)</w:t>
      </w:r>
      <w:r>
        <w:rPr>
          <w:rFonts w:ascii="Verdana" w:hAnsi="Verdana"/>
          <w:sz w:val="20"/>
          <w:szCs w:val="20"/>
        </w:rPr>
        <w:t xml:space="preserve"> — como restos de alvenaria, telhas quebradas e embalagens de insumos — e o manuseio de produtos químicos impermeabilizantes.</w:t>
      </w:r>
    </w:p>
    <w:p>
      <w:pPr>
        <w:pStyle w:val="Normal"/>
        <w:spacing w:lineRule="auto" w:line="240"/>
        <w:jc w:val="both"/>
        <w:rPr>
          <w:rFonts w:ascii="Verdana" w:hAnsi="Verdana"/>
          <w:sz w:val="20"/>
          <w:szCs w:val="20"/>
        </w:rPr>
      </w:pPr>
      <w:r>
        <w:rPr>
          <w:rFonts w:ascii="Verdana" w:hAnsi="Verdana"/>
          <w:b/>
          <w:bCs/>
          <w:sz w:val="20"/>
          <w:szCs w:val="20"/>
        </w:rPr>
        <w:t>17.2. Medidas de Mitigação e Sustentabilidade:</w:t>
      </w:r>
      <w:r>
        <w:rPr>
          <w:rFonts w:ascii="Verdana" w:hAnsi="Verdana"/>
          <w:sz w:val="20"/>
          <w:szCs w:val="20"/>
        </w:rPr>
        <w:t xml:space="preserve"> Em observância ao </w:t>
      </w:r>
      <w:r>
        <w:rPr>
          <w:rFonts w:ascii="Verdana" w:hAnsi="Verdana"/>
          <w:b/>
          <w:bCs/>
          <w:sz w:val="20"/>
          <w:szCs w:val="20"/>
        </w:rPr>
        <w:t>art. 5º da Lei nº 16.133/2021</w:t>
      </w:r>
      <w:r>
        <w:rPr>
          <w:rFonts w:ascii="Verdana" w:hAnsi="Verdana"/>
          <w:sz w:val="20"/>
          <w:szCs w:val="20"/>
        </w:rPr>
        <w:t xml:space="preserve"> (princípio do desenvolvimento nacional sustentável), a contratada deverá adotar as seguintes providências:</w:t>
      </w:r>
    </w:p>
    <w:p>
      <w:pPr>
        <w:pStyle w:val="Normal"/>
        <w:numPr>
          <w:ilvl w:val="0"/>
          <w:numId w:val="9"/>
        </w:numPr>
        <w:spacing w:lineRule="auto" w:line="240"/>
        <w:jc w:val="both"/>
        <w:rPr>
          <w:rFonts w:ascii="Verdana" w:hAnsi="Verdana"/>
          <w:sz w:val="20"/>
          <w:szCs w:val="20"/>
        </w:rPr>
      </w:pPr>
      <w:r>
        <w:rPr>
          <w:rFonts w:ascii="Verdana" w:hAnsi="Verdana"/>
          <w:b/>
          <w:bCs/>
          <w:sz w:val="20"/>
          <w:szCs w:val="20"/>
        </w:rPr>
        <w:t>Gestão de Resíduos (Entulho):</w:t>
      </w:r>
      <w:r>
        <w:rPr>
          <w:rFonts w:ascii="Verdana" w:hAnsi="Verdana"/>
          <w:sz w:val="20"/>
          <w:szCs w:val="20"/>
        </w:rPr>
        <w:t xml:space="preserve"> Todo o entulho gerado na reforma do piso e construção dos banheiros deverá ser recolhido, transportado e destinado a local licenciado, sendo terminantemente </w:t>
      </w:r>
      <w:r>
        <w:rPr>
          <w:rFonts w:ascii="Verdana" w:hAnsi="Verdana"/>
          <w:b/>
          <w:bCs/>
          <w:sz w:val="20"/>
          <w:szCs w:val="20"/>
        </w:rPr>
        <w:t>proibido o descarte ou soterramento de resíduos nas adjacências da unidade escolar rural</w:t>
      </w:r>
      <w:r>
        <w:rPr>
          <w:rFonts w:ascii="Verdana" w:hAnsi="Verdana"/>
          <w:sz w:val="20"/>
          <w:szCs w:val="20"/>
        </w:rPr>
        <w:t>.</w:t>
      </w:r>
    </w:p>
    <w:p>
      <w:pPr>
        <w:pStyle w:val="Normal"/>
        <w:numPr>
          <w:ilvl w:val="0"/>
          <w:numId w:val="9"/>
        </w:numPr>
        <w:spacing w:lineRule="auto" w:line="240"/>
        <w:jc w:val="both"/>
        <w:rPr>
          <w:rFonts w:ascii="Verdana" w:hAnsi="Verdana"/>
          <w:sz w:val="20"/>
          <w:szCs w:val="20"/>
        </w:rPr>
      </w:pPr>
      <w:r>
        <w:rPr>
          <w:rFonts w:ascii="Verdana" w:hAnsi="Verdana"/>
          <w:b/>
          <w:bCs/>
          <w:sz w:val="20"/>
          <w:szCs w:val="20"/>
        </w:rPr>
        <w:t>Logística Verde:</w:t>
      </w:r>
      <w:r>
        <w:rPr>
          <w:rFonts w:ascii="Verdana" w:hAnsi="Verdana"/>
          <w:sz w:val="20"/>
          <w:szCs w:val="20"/>
        </w:rPr>
        <w:t xml:space="preserve"> O planejamento do transporte (23 km da sede) deve visar a otimização de viagens para reduzir a emissão de gases poluentes e o desgaste das estradas vicinais.</w:t>
      </w:r>
    </w:p>
    <w:p>
      <w:pPr>
        <w:pStyle w:val="Normal"/>
        <w:numPr>
          <w:ilvl w:val="0"/>
          <w:numId w:val="9"/>
        </w:numPr>
        <w:spacing w:lineRule="auto" w:line="240"/>
        <w:jc w:val="both"/>
        <w:rPr>
          <w:rFonts w:ascii="Verdana" w:hAnsi="Verdana"/>
          <w:sz w:val="20"/>
          <w:szCs w:val="20"/>
        </w:rPr>
      </w:pPr>
      <w:r>
        <w:rPr>
          <w:rFonts w:ascii="Verdana" w:hAnsi="Verdana"/>
          <w:b/>
          <w:bCs/>
          <w:sz w:val="20"/>
          <w:szCs w:val="20"/>
        </w:rPr>
        <w:t>Produtos Ecoeficientes:</w:t>
      </w:r>
      <w:r>
        <w:rPr>
          <w:rFonts w:ascii="Verdana" w:hAnsi="Verdana"/>
          <w:sz w:val="20"/>
          <w:szCs w:val="20"/>
        </w:rPr>
        <w:t xml:space="preserve"> Preferência por impermeabilizantes e tintas com baixo teor de Compostos Orgânicos Voláteis (VOC) e produtos saneantes registrados na ANVISA, garantindo que não haja contaminação do solo durante a aplicação.</w:t>
      </w:r>
    </w:p>
    <w:p>
      <w:pPr>
        <w:pStyle w:val="Normal"/>
        <w:numPr>
          <w:ilvl w:val="0"/>
          <w:numId w:val="9"/>
        </w:numPr>
        <w:spacing w:lineRule="auto" w:line="240"/>
        <w:jc w:val="both"/>
        <w:rPr>
          <w:rFonts w:ascii="Verdana" w:hAnsi="Verdana"/>
          <w:sz w:val="20"/>
          <w:szCs w:val="20"/>
        </w:rPr>
      </w:pPr>
      <w:r>
        <w:rPr>
          <w:rFonts w:ascii="Verdana" w:hAnsi="Verdana"/>
          <w:b/>
          <w:bCs/>
          <w:sz w:val="20"/>
          <w:szCs w:val="20"/>
        </w:rPr>
        <w:t>Uso Racional de Recursos:</w:t>
      </w:r>
      <w:r>
        <w:rPr>
          <w:rFonts w:ascii="Verdana" w:hAnsi="Verdana"/>
          <w:sz w:val="20"/>
          <w:szCs w:val="20"/>
        </w:rPr>
        <w:t xml:space="preserve"> A empresa deverá orientar seus funcionários quanto ao uso racional de água e energia elétrica da unidade escolar durante a execução dos serviços.</w:t>
      </w:r>
    </w:p>
    <w:p>
      <w:pPr>
        <w:pStyle w:val="Normal"/>
        <w:spacing w:lineRule="auto" w:line="240"/>
        <w:jc w:val="both"/>
        <w:rPr>
          <w:rFonts w:ascii="Verdana" w:hAnsi="Verdana"/>
          <w:sz w:val="20"/>
          <w:szCs w:val="20"/>
        </w:rPr>
      </w:pPr>
      <w:r>
        <w:rPr>
          <w:rFonts w:ascii="Verdana" w:hAnsi="Verdana"/>
          <w:sz w:val="20"/>
          <w:szCs w:val="20"/>
        </w:rPr>
        <w:t>17.3. Conformidade Ambiental: Conclui-se que a contratação é ambientalmente viável, desde que observadas as diretrizes de manejo de resíduos estabelecidas no Termo de Referência. O ateste dos serviços e o respectivo pagamento ficarão condicionados à limpeza completa do canteiro de obras e à comprovação do descarte correto dos resíduos, assegurando a proteção dos recursos naturais na região da Vila Fartura.</w:t>
      </w:r>
    </w:p>
    <w:p>
      <w:pPr>
        <w:pStyle w:val="NormalWeb"/>
        <w:spacing w:lineRule="auto" w:line="240" w:beforeAutospacing="0" w:before="0" w:afterAutospacing="0" w:after="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ind w:hanging="0" w:left="0" w:right="0"/>
        <w:jc w:val="both"/>
        <w:rPr>
          <w:rFonts w:ascii="Verdana" w:hAnsi="Verdana"/>
          <w:sz w:val="20"/>
          <w:szCs w:val="20"/>
        </w:rPr>
      </w:pPr>
      <w:r>
        <w:rPr>
          <w:rFonts w:ascii="Verdana" w:hAnsi="Verdana"/>
          <w:b/>
          <w:bCs/>
          <w:sz w:val="20"/>
          <w:szCs w:val="20"/>
        </w:rPr>
        <w:t xml:space="preserve">18. ADEQUAÇÃO ORÇAMENTÁRIA </w:t>
      </w:r>
    </w:p>
    <w:p>
      <w:pPr>
        <w:pStyle w:val="Normal"/>
        <w:spacing w:lineRule="auto" w:line="240"/>
        <w:ind w:hanging="0" w:left="0" w:right="0"/>
        <w:jc w:val="both"/>
        <w:rPr>
          <w:rFonts w:ascii="Verdana" w:hAnsi="Verdana"/>
          <w:sz w:val="20"/>
          <w:szCs w:val="20"/>
        </w:rPr>
      </w:pPr>
      <w:r>
        <w:rPr>
          <w:rFonts w:ascii="Verdana" w:hAnsi="Verdana"/>
          <w:sz w:val="20"/>
          <w:szCs w:val="20"/>
        </w:rPr>
        <w:t>18.1.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ind w:hanging="0" w:left="0" w:right="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t>FICHA – FONTE: 00620-150000001 no valor de R$ 40.000,00 (quarenta mil reais), emenda parlamentar</w:t>
      </w:r>
    </w:p>
    <w:p>
      <w:pPr>
        <w:pStyle w:val="Normal"/>
        <w:spacing w:lineRule="auto" w:line="240"/>
        <w:jc w:val="both"/>
        <w:rPr>
          <w:rFonts w:ascii="Verdana" w:hAnsi="Verdana"/>
          <w:sz w:val="20"/>
          <w:szCs w:val="20"/>
        </w:rPr>
      </w:pPr>
      <w:r>
        <w:rPr>
          <w:rFonts w:ascii="Verdana" w:hAnsi="Verdana"/>
          <w:sz w:val="20"/>
          <w:szCs w:val="20"/>
        </w:rPr>
        <w:t>FICHA – FONTE: 00620-15000025000 no valor de R$ 13.722,00 (treze mil setecentos e vinte e dois reais), MDE</w:t>
      </w:r>
    </w:p>
    <w:p>
      <w:pPr>
        <w:pStyle w:val="Normal"/>
        <w:spacing w:lineRule="auto" w:line="240"/>
        <w:jc w:val="both"/>
        <w:rPr>
          <w:rFonts w:ascii="Verdana" w:hAnsi="Verdana"/>
          <w:sz w:val="20"/>
          <w:szCs w:val="20"/>
        </w:rPr>
      </w:pPr>
      <w:r>
        <w:rPr>
          <w:rFonts w:ascii="Verdana" w:hAnsi="Verdana"/>
          <w:sz w:val="20"/>
          <w:szCs w:val="20"/>
        </w:rPr>
        <w:t>FICHA-FONTE: 00638-150000025000000 no valor de R$ 10.000,00 (dez mil reais), MDE</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Arial" w:ascii="Verdana" w:hAnsi="Verdana"/>
          <w:b/>
          <w:bCs/>
          <w:color w:val="000000"/>
          <w:sz w:val="20"/>
          <w:szCs w:val="20"/>
        </w:rPr>
        <w:t>19. DOS RESPONSÁVEIS PELA ELABORAÇÃO DO TERMO DE REFERÊNCIA</w:t>
      </w:r>
    </w:p>
    <w:p>
      <w:pPr>
        <w:pStyle w:val="Normal"/>
        <w:spacing w:lineRule="auto" w:line="240"/>
        <w:jc w:val="both"/>
        <w:rPr>
          <w:rFonts w:ascii="Verdana" w:hAnsi="Verdana"/>
          <w:sz w:val="20"/>
          <w:szCs w:val="20"/>
        </w:rPr>
      </w:pPr>
      <w:r>
        <w:rPr>
          <w:rFonts w:cs="Arial" w:ascii="Verdana" w:hAnsi="Verdana"/>
          <w:b w:val="false"/>
          <w:bCs w:val="false"/>
          <w:color w:val="000000"/>
          <w:sz w:val="20"/>
          <w:szCs w:val="20"/>
        </w:rPr>
        <w:t>19.1. A compilação das informações mencionados na elaboração deste Termo de Referência foram estruturadas/fundamentado no estudo técnico preliminar, documento formalizador de demanda e planilhas que concluiu pela viabilidade da contratação, em anexo nos autos e  elaborado pela secretaria requisitante.</w:t>
      </w:r>
    </w:p>
    <w:p>
      <w:pPr>
        <w:pStyle w:val="Normal"/>
        <w:spacing w:lineRule="auto" w:line="240"/>
        <w:jc w:val="right"/>
        <w:rPr>
          <w:rFonts w:ascii="Verdana" w:hAnsi="Verdana"/>
          <w:sz w:val="20"/>
          <w:szCs w:val="20"/>
        </w:rPr>
      </w:pPr>
      <w:r>
        <w:rPr>
          <w:rFonts w:ascii="Verdana" w:hAnsi="Verdana"/>
          <w:sz w:val="20"/>
          <w:szCs w:val="20"/>
        </w:rPr>
      </w:r>
    </w:p>
    <w:p>
      <w:pPr>
        <w:pStyle w:val="Normal"/>
        <w:spacing w:lineRule="auto" w:line="240"/>
        <w:jc w:val="right"/>
        <w:rPr>
          <w:rFonts w:ascii="Verdana" w:hAnsi="Verdana"/>
          <w:sz w:val="20"/>
          <w:szCs w:val="20"/>
        </w:rPr>
      </w:pPr>
      <w:r>
        <w:rPr>
          <w:rFonts w:ascii="Verdana" w:hAnsi="Verdana"/>
          <w:sz w:val="20"/>
          <w:szCs w:val="20"/>
        </w:rPr>
      </w:r>
    </w:p>
    <w:p>
      <w:pPr>
        <w:pStyle w:val="Normal"/>
        <w:spacing w:lineRule="auto" w:line="240"/>
        <w:jc w:val="right"/>
        <w:rPr>
          <w:rFonts w:ascii="Verdana" w:hAnsi="Verdana"/>
          <w:sz w:val="20"/>
          <w:szCs w:val="20"/>
        </w:rPr>
      </w:pPr>
      <w:r>
        <w:rPr>
          <w:rFonts w:ascii="Verdana" w:hAnsi="Verdana"/>
          <w:sz w:val="20"/>
          <w:szCs w:val="20"/>
        </w:rPr>
      </w:r>
    </w:p>
    <w:p>
      <w:pPr>
        <w:pStyle w:val="Normal"/>
        <w:spacing w:lineRule="auto" w:line="240"/>
        <w:jc w:val="right"/>
        <w:rPr>
          <w:rFonts w:ascii="Verdana" w:hAnsi="Verdana"/>
          <w:sz w:val="20"/>
          <w:szCs w:val="20"/>
        </w:rPr>
      </w:pPr>
      <w:r>
        <w:rPr>
          <w:rFonts w:ascii="Verdana" w:hAnsi="Verdana"/>
          <w:sz w:val="20"/>
          <w:szCs w:val="20"/>
        </w:rPr>
      </w:r>
    </w:p>
    <w:p>
      <w:pPr>
        <w:pStyle w:val="Normal"/>
        <w:spacing w:lineRule="auto" w:line="240"/>
        <w:jc w:val="right"/>
        <w:rPr>
          <w:rFonts w:ascii="Verdana" w:hAnsi="Verdana"/>
          <w:sz w:val="20"/>
          <w:szCs w:val="20"/>
        </w:rPr>
      </w:pPr>
      <w:r>
        <w:rPr>
          <w:rFonts w:ascii="Verdana" w:hAnsi="Verdana"/>
          <w:sz w:val="20"/>
          <w:szCs w:val="20"/>
        </w:rPr>
      </w:r>
    </w:p>
    <w:p>
      <w:pPr>
        <w:pStyle w:val="Normal"/>
        <w:spacing w:lineRule="auto" w:line="240"/>
        <w:jc w:val="right"/>
        <w:rPr>
          <w:rFonts w:ascii="Verdana" w:hAnsi="Verdana"/>
          <w:sz w:val="20"/>
          <w:szCs w:val="20"/>
        </w:rPr>
      </w:pPr>
      <w:r>
        <w:rPr>
          <w:rFonts w:ascii="Verdana" w:hAnsi="Verdana"/>
          <w:sz w:val="20"/>
          <w:szCs w:val="20"/>
        </w:rPr>
        <w:t>São Gabriel da Palha, 14 de julho</w:t>
      </w:r>
      <w:r>
        <w:rPr>
          <w:rFonts w:eastAsia="Times New Roman" w:cs="Times New Roman" w:ascii="Verdana" w:hAnsi="Verdana"/>
          <w:color w:val="000000"/>
          <w:sz w:val="20"/>
          <w:szCs w:val="20"/>
        </w:rPr>
        <w:t xml:space="preserve"> </w:t>
      </w:r>
      <w:r>
        <w:rPr>
          <w:rFonts w:ascii="Verdana" w:hAnsi="Verdana"/>
          <w:sz w:val="20"/>
          <w:szCs w:val="20"/>
        </w:rPr>
        <w:t>de 2026</w:t>
      </w:r>
    </w:p>
    <w:p>
      <w:pPr>
        <w:pStyle w:val="Normal"/>
        <w:spacing w:lineRule="auto" w:line="240"/>
        <w:jc w:val="both"/>
        <w:rPr>
          <w:rFonts w:ascii="Verdana" w:hAnsi="Verdana"/>
          <w:sz w:val="20"/>
          <w:szCs w:val="20"/>
        </w:rPr>
      </w:pPr>
      <w:r>
        <w:rPr>
          <w:rFonts w:cs="Arial" w:ascii="Verdana" w:hAnsi="Verdana"/>
          <w:b/>
          <w:bCs/>
          <w:sz w:val="20"/>
          <w:szCs w:val="20"/>
        </w:rPr>
        <w:t>Elaborado por:</w:t>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left"/>
        <w:rPr>
          <w:rFonts w:ascii="Verdana" w:hAnsi="Verdana"/>
          <w:sz w:val="20"/>
          <w:szCs w:val="20"/>
        </w:rPr>
      </w:pPr>
      <w:r>
        <w:rPr>
          <w:rFonts w:cs="Arial" w:ascii="Verdana" w:hAnsi="Verdana"/>
          <w:b w:val="false"/>
          <w:bCs w:val="false"/>
          <w:sz w:val="20"/>
          <w:szCs w:val="20"/>
          <w:u w:val="none"/>
        </w:rPr>
        <w:t>ANDRESSA LINHARES MARTINS</w:t>
      </w:r>
    </w:p>
    <w:p>
      <w:pPr>
        <w:pStyle w:val="Normal"/>
        <w:spacing w:lineRule="auto" w:line="240"/>
        <w:jc w:val="left"/>
        <w:rPr>
          <w:rFonts w:ascii="Verdana" w:hAnsi="Verdana"/>
          <w:sz w:val="20"/>
          <w:szCs w:val="20"/>
        </w:rPr>
      </w:pPr>
      <w:r>
        <w:rPr>
          <w:rFonts w:cs="Arial" w:ascii="Verdana" w:hAnsi="Verdana"/>
          <w:b w:val="false"/>
          <w:bCs w:val="false"/>
          <w:sz w:val="20"/>
          <w:szCs w:val="20"/>
          <w:u w:val="none"/>
        </w:rPr>
        <w:t xml:space="preserve">Agente de Serviços Técnicos - Decreto nº 6.080/2026 </w:t>
      </w:r>
    </w:p>
    <w:p>
      <w:pPr>
        <w:pStyle w:val="Normal"/>
        <w:spacing w:lineRule="auto" w:line="240" w:before="0" w:after="0"/>
        <w:jc w:val="left"/>
        <w:rPr>
          <w:rFonts w:ascii="Verdana" w:hAnsi="Verdana"/>
          <w:sz w:val="20"/>
          <w:szCs w:val="20"/>
        </w:rPr>
      </w:pPr>
      <w:r>
        <w:rPr>
          <w:rFonts w:cs="Arial" w:ascii="Verdana" w:hAnsi="Verdana"/>
          <w:b w:val="false"/>
          <w:bCs w:val="false"/>
          <w:sz w:val="20"/>
          <w:szCs w:val="20"/>
          <w:u w:val="none"/>
        </w:rPr>
        <w:t>Mat. nº 009838</w:t>
      </w:r>
    </w:p>
    <w:p>
      <w:pPr>
        <w:pStyle w:val="Normal"/>
        <w:spacing w:lineRule="auto" w:line="240" w:before="0" w:after="0"/>
        <w:jc w:val="left"/>
        <w:rPr>
          <w:rFonts w:ascii="Verdana" w:hAnsi="Verdana"/>
          <w:sz w:val="20"/>
          <w:szCs w:val="20"/>
        </w:rPr>
      </w:pPr>
      <w:r>
        <w:rPr>
          <w:rFonts w:ascii="Verdana" w:hAnsi="Verdana"/>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517" w:right="905" w:gutter="0" w:header="227" w:top="851" w:footer="567" w:bottom="851"/>
          <w:pgNumType w:fmt="decimal"/>
          <w:formProt w:val="false"/>
          <w:textDirection w:val="lrTb"/>
          <w:docGrid w:type="default" w:linePitch="326" w:charSpace="0"/>
        </w:sectPr>
      </w:pPr>
    </w:p>
    <w:p>
      <w:pPr>
        <w:pStyle w:val="Normal"/>
        <w:spacing w:lineRule="auto" w:line="240"/>
        <w:rPr>
          <w:rFonts w:ascii="Verdana" w:hAnsi="Verdana"/>
          <w:sz w:val="20"/>
          <w:szCs w:val="20"/>
        </w:rPr>
      </w:pPr>
      <w:r>
        <w:rPr>
          <w:rFonts w:ascii="Verdana" w:hAnsi="Verdana"/>
          <w:sz w:val="20"/>
          <w:szCs w:val="20"/>
          <w:shd w:fill="auto" w:val="clear"/>
        </w:rPr>
        <w:t>RODOLFO ANTÔNIO DA SILVA NETO</w:t>
      </w:r>
    </w:p>
    <w:p>
      <w:pPr>
        <w:pStyle w:val="Normal"/>
        <w:spacing w:lineRule="auto" w:line="240"/>
        <w:rPr>
          <w:rFonts w:ascii="Verdana" w:hAnsi="Verdana"/>
          <w:sz w:val="20"/>
          <w:szCs w:val="20"/>
        </w:rPr>
      </w:pPr>
      <w:r>
        <w:rPr>
          <w:rFonts w:ascii="Verdana" w:hAnsi="Verdana"/>
          <w:sz w:val="20"/>
          <w:szCs w:val="20"/>
          <w:shd w:fill="auto" w:val="clear"/>
        </w:rPr>
        <w:t>Agente de Serviços Técnicos – Portaria n° 9.965/2025</w:t>
      </w:r>
    </w:p>
    <w:p>
      <w:pPr>
        <w:pStyle w:val="Normal"/>
        <w:spacing w:lineRule="auto" w:line="240"/>
        <w:rPr>
          <w:rFonts w:ascii="Verdana" w:hAnsi="Verdana"/>
          <w:sz w:val="20"/>
          <w:szCs w:val="20"/>
        </w:rPr>
      </w:pPr>
      <w:r>
        <w:rPr>
          <w:rFonts w:cs="Arial" w:ascii="Verdana" w:hAnsi="Verdana"/>
          <w:b w:val="false"/>
          <w:bCs w:val="false"/>
          <w:sz w:val="20"/>
          <w:szCs w:val="20"/>
          <w:shd w:fill="auto" w:val="clear"/>
        </w:rPr>
        <w:t>Mat. nº 000406</w:t>
      </w:r>
    </w:p>
    <w:p>
      <w:pPr>
        <w:pStyle w:val="Normal"/>
        <w:spacing w:lineRule="auto" w:line="24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jc w:val="both"/>
        <w:rPr>
          <w:rFonts w:ascii="Verdana" w:hAnsi="Verdana"/>
          <w:sz w:val="20"/>
          <w:szCs w:val="20"/>
        </w:rPr>
      </w:pPr>
      <w:r>
        <w:rPr>
          <w:rFonts w:cs="Arial" w:ascii="Verdana" w:hAnsi="Verdana"/>
          <w:b w:val="false"/>
          <w:bCs w:val="false"/>
          <w:sz w:val="20"/>
          <w:szCs w:val="20"/>
        </w:rPr>
        <w:t>RUTH BARBARA DA SILWA NASCIMENTO</w:t>
      </w:r>
    </w:p>
    <w:p>
      <w:pPr>
        <w:pStyle w:val="Normal"/>
        <w:spacing w:lineRule="auto" w:line="240"/>
        <w:jc w:val="both"/>
        <w:rPr>
          <w:rFonts w:ascii="Verdana" w:hAnsi="Verdana"/>
          <w:sz w:val="20"/>
          <w:szCs w:val="20"/>
        </w:rPr>
      </w:pPr>
      <w:r>
        <w:rPr>
          <w:rFonts w:cs="Arial" w:ascii="Verdana" w:hAnsi="Verdana"/>
          <w:b w:val="false"/>
          <w:bCs w:val="false"/>
          <w:sz w:val="20"/>
          <w:szCs w:val="20"/>
        </w:rPr>
        <w:t>Agente de Serviços Técnicos - Decreto n° 4.816/2025.</w:t>
      </w:r>
    </w:p>
    <w:p>
      <w:pPr>
        <w:pStyle w:val="Normal"/>
        <w:spacing w:lineRule="auto" w:line="240"/>
        <w:jc w:val="both"/>
        <w:rPr>
          <w:rFonts w:ascii="Verdana" w:hAnsi="Verdana"/>
          <w:sz w:val="20"/>
          <w:szCs w:val="20"/>
        </w:rPr>
      </w:pPr>
      <w:r>
        <w:rPr>
          <w:rFonts w:cs="Arial" w:ascii="Verdana" w:hAnsi="Verdana"/>
          <w:b w:val="false"/>
          <w:bCs w:val="false"/>
          <w:sz w:val="20"/>
          <w:szCs w:val="20"/>
        </w:rPr>
        <w:t>Mat. nº 002983</w:t>
      </w:r>
      <w:bookmarkStart w:id="16" w:name="art122%252525252525252525252525252525254"/>
      <w:bookmarkStart w:id="17" w:name="art116_Copia_1"/>
      <w:bookmarkEnd w:id="16"/>
      <w:bookmarkEnd w:id="17"/>
    </w:p>
    <w:p>
      <w:pPr>
        <w:pStyle w:val="Normal"/>
        <w:spacing w:lineRule="auto" w:line="240"/>
        <w:jc w:val="both"/>
        <w:rPr>
          <w:rFonts w:ascii="Verdana" w:hAnsi="Verdana" w:cs="Arial"/>
          <w:b w:val="false"/>
          <w:bCs w:val="false"/>
          <w:color w:val="000000"/>
          <w:sz w:val="20"/>
          <w:szCs w:val="20"/>
        </w:rPr>
      </w:pPr>
      <w:r>
        <w:rPr>
          <w:rFonts w:cs="Arial" w:ascii="Verdana" w:hAnsi="Verdana"/>
          <w:b w:val="false"/>
          <w:bCs w:val="false"/>
          <w:color w:val="000000"/>
          <w:sz w:val="20"/>
          <w:szCs w:val="20"/>
        </w:rPr>
      </w:r>
    </w:p>
    <w:p>
      <w:pPr>
        <w:sectPr>
          <w:type w:val="continuous"/>
          <w:pgSz w:w="11906" w:h="16838"/>
          <w:pgMar w:left="1517" w:right="905" w:gutter="0" w:header="227" w:top="851" w:footer="567" w:bottom="851"/>
          <w:formProt w:val="false"/>
          <w:textDirection w:val="lrTb"/>
          <w:docGrid w:type="default" w:linePitch="326" w:charSpace="0"/>
        </w:sectPr>
      </w:pPr>
    </w:p>
    <w:p>
      <w:pPr>
        <w:pStyle w:val="Normal"/>
        <w:spacing w:lineRule="auto" w:line="240"/>
        <w:rPr>
          <w:rFonts w:ascii="Verdana" w:hAnsi="Verdana"/>
          <w:sz w:val="20"/>
          <w:szCs w:val="20"/>
        </w:rPr>
      </w:pPr>
      <w:r>
        <w:rPr>
          <w:rFonts w:ascii="Verdana" w:hAnsi="Verdana"/>
          <w:sz w:val="20"/>
          <w:szCs w:val="20"/>
        </w:rPr>
      </w:r>
    </w:p>
    <w:sectPr>
      <w:type w:val="continuous"/>
      <w:pgSz w:w="11906" w:h="16838"/>
      <w:pgMar w:left="1517" w:right="905" w:gutter="0" w:header="227" w:top="851" w:footer="567" w:bottom="851"/>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Courier New">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 w:name="Tahoma">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6">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6">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paragraph" w:styleId="Heading2">
    <w:name w:val="Heading 2"/>
    <w:basedOn w:val="LO-normal"/>
    <w:next w:val="LO-normal"/>
    <w:qFormat/>
    <w:pPr>
      <w:keepNext w:val="true"/>
      <w:keepLines/>
      <w:spacing w:lineRule="auto" w:line="360" w:before="240" w:after="240"/>
      <w:jc w:val="both"/>
    </w:pPr>
    <w:rPr>
      <w:b/>
    </w:rPr>
  </w:style>
  <w:style w:type="paragraph" w:styleId="Heading3">
    <w:name w:val="Heading 3"/>
    <w:basedOn w:val="LO-normal"/>
    <w:next w:val="LO-normal"/>
    <w:qFormat/>
    <w:pPr>
      <w:keepNext w:val="true"/>
      <w:keepLines/>
    </w:pPr>
    <w:rPr>
      <w:i/>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Hyperlink">
    <w:name w:val="Hyperlink"/>
    <w:qFormat/>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FollowedHyperlink">
    <w:name w:val="FollowedHyperlink"/>
    <w:rPr>
      <w:color w:val="800080"/>
      <w:u w:val="single"/>
    </w:rPr>
  </w:style>
  <w:style w:type="character" w:styleId="WW8Num9z0">
    <w:name w:val="WW8Num9z0"/>
    <w:qFormat/>
    <w:rPr>
      <w:b/>
      <w:bCs/>
    </w:rPr>
  </w:style>
  <w:style w:type="character" w:styleId="WW8Num10z0">
    <w:name w:val="WW8Num10z0"/>
    <w:qFormat/>
    <w:rPr>
      <w:b/>
      <w:bCs/>
    </w:rPr>
  </w:style>
  <w:style w:type="character" w:styleId="Hyperlink1">
    <w:name w:val="Hyperlink1"/>
    <w:qFormat/>
    <w:rPr>
      <w:color w:val="000080"/>
      <w:u w:val="single"/>
    </w:rPr>
  </w:style>
  <w:style w:type="character" w:styleId="WW8Num2z0">
    <w:name w:val="WW8Num2z0"/>
    <w:qFormat/>
    <w:rPr>
      <w:rFonts w:ascii="Arial" w:hAnsi="Arial" w:eastAsia="Batang" w:cs="Arial"/>
      <w:b/>
      <w:i w:val="false"/>
      <w:sz w:val="24"/>
      <w:szCs w:val="24"/>
      <w:u w:val="none"/>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Fontepargpadro1">
    <w:name w:val="Fonte parág. padrão1"/>
    <w:qFormat/>
    <w:rPr/>
  </w:style>
  <w:style w:type="character" w:styleId="Fontepargpadro">
    <w:name w:val="Fonte parág. padrão"/>
    <w:qFormat/>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1">
    <w:name w:val="caption1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Cabealhoerodap11">
    <w:name w:val="Cabeçalho e rodapé11"/>
    <w:basedOn w:val="Normal"/>
    <w:qFormat/>
    <w:pPr/>
    <w:rPr/>
  </w:style>
  <w:style w:type="paragraph" w:styleId="Cabealhoerodap12">
    <w:name w:val="Cabeçalho e rodapé12"/>
    <w:basedOn w:val="Normal"/>
    <w:qFormat/>
    <w:pPr/>
    <w:rPr/>
  </w:style>
  <w:style w:type="paragraph" w:styleId="Cabealhoerodap13">
    <w:name w:val="Cabeçalho e rodapé13"/>
    <w:basedOn w:val="Normal"/>
    <w:qFormat/>
    <w:pPr/>
    <w:rPr/>
  </w:style>
  <w:style w:type="paragraph" w:styleId="Cabealhoerodap14">
    <w:name w:val="Cabeçalho e rodapé14"/>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overflowPunct w:val="fals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widowControl w:val="false"/>
      <w:suppressLineNumbers/>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 w:val="24"/>
      <w:szCs w:val="24"/>
    </w:rPr>
  </w:style>
  <w:style w:type="paragraph" w:styleId="LO-normal">
    <w:name w:val="LO-normal"/>
    <w:qFormat/>
    <w:pPr>
      <w:widowControl/>
      <w:suppressAutoHyphens w:val="true"/>
      <w:bidi w:val="0"/>
      <w:spacing w:lineRule="auto" w:line="360" w:before="240" w:after="240"/>
      <w:jc w:val="both"/>
    </w:pPr>
    <w:rPr>
      <w:rFonts w:ascii="Arial" w:hAnsi="Arial" w:eastAsia="Arial" w:cs="DejaVu Sans" w:asciiTheme="minorHAnsi" w:cstheme="minorBidi" w:eastAsiaTheme="minorHAnsi" w:hAnsiTheme="minorHAnsi"/>
      <w:color w:val="auto"/>
      <w:kern w:val="0"/>
      <w:sz w:val="22"/>
      <w:szCs w:val="22"/>
      <w:lang w:val="pt-BR" w:eastAsia="en-US" w:bidi="ar-SA"/>
    </w:rPr>
  </w:style>
  <w:style w:type="paragraph" w:styleId="WW-Textosimples">
    <w:name w:val="WW-Texto simples"/>
    <w:basedOn w:val="Normal"/>
    <w:qFormat/>
    <w:pPr/>
    <w:rPr>
      <w:rFonts w:ascii="Courier New" w:hAnsi="Courier New" w:cs="Courier New"/>
      <w:sz w:val="20"/>
    </w:rPr>
  </w:style>
  <w:style w:type="paragraph" w:styleId="Contedodoquadro">
    <w:name w:val="Conteúdo do quadro"/>
    <w:basedOn w:val="Normal"/>
    <w:qFormat/>
    <w:pPr/>
    <w:rPr/>
  </w:style>
  <w:style w:type="paragraph" w:styleId="caption4">
    <w:name w:val="caption4"/>
    <w:basedOn w:val="Normal"/>
    <w:qFormat/>
    <w:pPr>
      <w:suppressLineNumbers/>
      <w:spacing w:before="120" w:after="120"/>
    </w:pPr>
    <w:rPr>
      <w:rFonts w:cs="Lucida Sans"/>
      <w:i/>
      <w:iCs/>
      <w:szCs w:val="24"/>
    </w:rPr>
  </w:style>
  <w:style w:type="paragraph" w:styleId="normal1">
    <w:name w:val="normal1"/>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Standard1">
    <w:name w:val="Standard1"/>
    <w:qFormat/>
    <w:pPr>
      <w:widowControl/>
      <w:suppressAutoHyphens w:val="true"/>
      <w:bidi w:val="0"/>
      <w:spacing w:before="0" w:after="0"/>
      <w:jc w:val="left"/>
      <w:textAlignment w:val="baseline"/>
    </w:pPr>
    <w:rPr>
      <w:rFonts w:ascii="Calibri" w:hAnsi="Calibri" w:eastAsia="Calibri" w:cs="Calibri"/>
      <w:color w:val="auto"/>
      <w:kern w:val="2"/>
      <w:sz w:val="24"/>
      <w:szCs w:val="24"/>
      <w:lang w:val="pt-BR" w:eastAsia="zh-CN" w:bidi="hi-IN"/>
    </w:rPr>
  </w:style>
  <w:style w:type="paragraph" w:styleId="normal2">
    <w:name w:val="normal2"/>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LO-Normal1">
    <w:name w:val="LO-Normal1"/>
    <w:qFormat/>
    <w:pPr>
      <w:widowControl/>
      <w:suppressAutoHyphens w:val="true"/>
      <w:bidi w:val="0"/>
      <w:spacing w:before="0" w:after="0"/>
      <w:jc w:val="left"/>
    </w:pPr>
    <w:rPr>
      <w:rFonts w:ascii="Arial" w:hAnsi="Arial" w:eastAsia="Arial" w:cs="DejaVu Sans" w:asciiTheme="minorHAnsi" w:cstheme="minorBidi" w:eastAsiaTheme="minorHAnsi" w:hAnsiTheme="minorHAnsi"/>
      <w:color w:val="auto"/>
      <w:kern w:val="0"/>
      <w:sz w:val="20"/>
      <w:szCs w:val="20"/>
      <w:lang w:val="pt-BR" w:eastAsia="zh-CN" w:bidi="hi-IN"/>
    </w:rPr>
  </w:style>
  <w:style w:type="paragraph" w:styleId="LO-Normal2">
    <w:name w:val="LO-Normal2"/>
    <w:qFormat/>
    <w:pPr>
      <w:widowControl/>
      <w:suppressAutoHyphens w:val="true"/>
      <w:bidi w:val="0"/>
      <w:spacing w:before="0" w:after="0"/>
      <w:jc w:val="left"/>
    </w:pPr>
    <w:rPr>
      <w:rFonts w:ascii="Arial" w:hAnsi="Arial" w:eastAsia="Arial" w:cs="DejaVu Sans" w:asciiTheme="minorHAnsi" w:cstheme="minorBidi" w:eastAsiaTheme="minorHAnsi" w:hAnsiTheme="minorHAnsi"/>
      <w:color w:val="auto"/>
      <w:kern w:val="0"/>
      <w:sz w:val="20"/>
      <w:szCs w:val="20"/>
      <w:lang w:val="pt-BR" w:eastAsia="zh-CN" w:bidi="hi-IN"/>
    </w:rPr>
  </w:style>
  <w:style w:type="numbering" w:styleId="Semlista">
    <w:name w:val="Sem lista"/>
    <w:qFormat/>
  </w:style>
  <w:style w:type="numbering" w:styleId="WW8Num10">
    <w:name w:val="WW8Num10"/>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1082</TotalTime>
  <Application>LibreOffice/24.2.7.2$Windows_X86_64 LibreOffice_project/ee3885777aa7032db5a9b65deec9457448a91162</Application>
  <AppVersion>15.0000</AppVersion>
  <Pages>15</Pages>
  <Words>7650</Words>
  <Characters>44535</Characters>
  <CharactersWithSpaces>51977</CharactersWithSpaces>
  <Paragraphs>326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2025-08-04T15:21:14Z</cp:lastPrinted>
  <dcterms:modified xsi:type="dcterms:W3CDTF">2026-08-11T13:11:09Z</dcterms:modified>
  <cp:revision>190</cp:revision>
  <dc:subject/>
  <dc:title/>
</cp:coreProperties>
</file>

<file path=docProps/custom.xml><?xml version="1.0" encoding="utf-8"?>
<Properties xmlns="http://schemas.openxmlformats.org/officeDocument/2006/custom-properties" xmlns:vt="http://schemas.openxmlformats.org/officeDocument/2006/docPropsVTypes"/>
</file>